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8-K/A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July 5, 2026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THE MIDDLEBY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8173" w:type="dxa"/>
        <w:jc w:val="center"/>
        <w:tblInd w:w="0" w:type="dxa"/>
        <w:tblLayout w:type="fixed"/>
        <w:tblCellMar>
          <w:top w:w="28" w:type="dxa"/>
          <w:left w:w="28" w:type="dxa"/>
          <w:bottom w:w="28" w:type="dxa"/>
          <w:right w:w="28" w:type="dxa"/>
        </w:tblCellMar>
      </w:tblPr>
      <w:tblGrid>
        <w:gridCol w:w="1159"/>
        <w:gridCol w:w="1018"/>
        <w:gridCol w:w="1033"/>
        <w:gridCol w:w="687"/>
        <w:gridCol w:w="687"/>
        <w:gridCol w:w="695"/>
        <w:gridCol w:w="845"/>
        <w:gridCol w:w="845"/>
        <w:gridCol w:w="1204"/>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001-9973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36-3352497</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469" w:type="dxa"/>
        <w:jc w:val="center"/>
        <w:tblInd w:w="0" w:type="dxa"/>
        <w:tblLayout w:type="fixed"/>
        <w:tblCellMar>
          <w:top w:w="28" w:type="dxa"/>
          <w:left w:w="28" w:type="dxa"/>
          <w:bottom w:w="28" w:type="dxa"/>
          <w:right w:w="28" w:type="dxa"/>
        </w:tblCellMar>
      </w:tblPr>
      <w:tblGrid>
        <w:gridCol w:w="805"/>
        <w:gridCol w:w="706"/>
        <w:gridCol w:w="709"/>
        <w:gridCol w:w="204"/>
        <w:gridCol w:w="204"/>
        <w:gridCol w:w="206"/>
        <w:gridCol w:w="235"/>
        <w:gridCol w:w="235"/>
        <w:gridCol w:w="236"/>
        <w:gridCol w:w="272"/>
        <w:gridCol w:w="272"/>
        <w:gridCol w:w="385"/>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1400 Toastmaster Drive,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Elgin,</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Illinois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60120</w:t>
            </w:r>
          </w:p>
        </w:tc>
      </w:tr>
      <w:tr>
        <w:trPr/>
        <w:tc>
          <w:tcPr>
            <w:tcW w:w="3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3868" w:type="dxa"/>
        <w:jc w:val="center"/>
        <w:tblInd w:w="0" w:type="dxa"/>
        <w:tblLayout w:type="fixed"/>
        <w:tblCellMar>
          <w:top w:w="28" w:type="dxa"/>
          <w:left w:w="28" w:type="dxa"/>
          <w:bottom w:w="28" w:type="dxa"/>
          <w:right w:w="28" w:type="dxa"/>
        </w:tblCellMar>
      </w:tblPr>
      <w:tblGrid>
        <w:gridCol w:w="516"/>
        <w:gridCol w:w="457"/>
        <w:gridCol w:w="459"/>
        <w:gridCol w:w="712"/>
        <w:gridCol w:w="712"/>
        <w:gridCol w:w="1012"/>
      </w:tblGrid>
      <w:tr>
        <w:trPr/>
        <w:tc>
          <w:tcPr>
            <w:tcW w:w="51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(847)</w:t>
            </w:r>
          </w:p>
        </w:tc>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741-3300</w:t>
            </w:r>
          </w:p>
        </w:tc>
      </w:tr>
      <w:tr>
        <w:trPr/>
        <w:tc>
          <w:tcPr>
            <w:tcW w:w="38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23" w:type="dxa"/>
        <w:jc w:val="center"/>
        <w:tblInd w:w="0" w:type="dxa"/>
        <w:tblLayout w:type="fixed"/>
        <w:tblCellMar>
          <w:top w:w="28" w:type="dxa"/>
          <w:left w:w="28" w:type="dxa"/>
          <w:bottom w:w="28" w:type="dxa"/>
          <w:right w:w="28" w:type="dxa"/>
        </w:tblCellMar>
      </w:tblPr>
      <w:tblGrid>
        <w:gridCol w:w="620"/>
        <w:gridCol w:w="542"/>
        <w:gridCol w:w="548"/>
        <w:gridCol w:w="564"/>
        <w:gridCol w:w="564"/>
        <w:gridCol w:w="566"/>
        <w:gridCol w:w="1174"/>
        <w:gridCol w:w="1174"/>
        <w:gridCol w:w="1671"/>
      </w:tblGrid>
      <w:tr>
        <w:trPr/>
        <w:tc>
          <w:tcPr>
            <w:tcW w:w="6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MIDD</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tbl>
      <w:tblPr>
        <w:tblW w:w="2007" w:type="dxa"/>
        <w:jc w:val="left"/>
        <w:tblInd w:w="0" w:type="dxa"/>
        <w:tblLayout w:type="fixed"/>
        <w:tblCellMar>
          <w:top w:w="28" w:type="dxa"/>
          <w:left w:w="28" w:type="dxa"/>
          <w:bottom w:w="28" w:type="dxa"/>
          <w:right w:w="28" w:type="dxa"/>
        </w:tblCellMar>
      </w:tblPr>
      <w:tblGrid>
        <w:gridCol w:w="592"/>
        <w:gridCol w:w="520"/>
        <w:gridCol w:w="523"/>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Explanatory Note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previously announced, on July 6, 2026, The Middleby Corporation (the “company”) completed separation of its food processing business, Midera Food Processing, Inc. (“Midera”), into a new, publicly traded company (the “Spin-off”). The Spin-off was achieved through the distribution by the company of 100% of the issued and outstanding shares of Midera common stock on a pro rata basis to the holders of the company’s common stock. Each company stockholder received one share of Midera common stock for every one share of company common stock held of record as of 4:00 p.m., Central Time, on June 26, 2026. Midera is now an independent public company, and Midera common stock commenced trading “regular way” under the symbol “MFP” on The Nasdaq Stock Market LLC on July 7, 2026, the next trading day following the date of the distribution.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this Amendment No. 1 the company amends the Current Report on Form 8-K filed by the company with the Securities and Exchange Commission on July 6, 2026 (the “Original Form 8-K”) that reported the completion of the Spin-off. The Original Form 8-K did not include the unaudited pro forma financial information of the company reflecting the performance of the company’s business after giving effect to the Spin-off. This Amendment No. 1 to the Original Form 8-K is being filed to include such pro forma financial information attached as Exhibit 99.1 under Item 9.01(b) of this Amendment No. 1 to the Original Form 8-K.</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Unaudited pro forma financial information included in this Amendment No. 1 to the Original Form 8-K has been presented to illustrate the estimated effects of the Spin-off and is not necessarily indicative of the results of operations that the company would have achieved had the Spin-off been completed as of the dates indicated or of the results that may be obtained in the future.</w:t>
      </w:r>
    </w:p>
    <w:tbl>
      <w:tblPr>
        <w:tblW w:w="3990" w:type="dxa"/>
        <w:jc w:val="left"/>
        <w:tblInd w:w="0" w:type="dxa"/>
        <w:tblLayout w:type="fixed"/>
        <w:tblCellMar>
          <w:top w:w="28" w:type="dxa"/>
          <w:left w:w="28" w:type="dxa"/>
          <w:bottom w:w="28" w:type="dxa"/>
          <w:right w:w="28" w:type="dxa"/>
        </w:tblCellMar>
      </w:tblPr>
      <w:tblGrid>
        <w:gridCol w:w="331"/>
        <w:gridCol w:w="291"/>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350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829"/>
        <w:gridCol w:w="829"/>
        <w:gridCol w:w="11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2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Financial Information.</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of the company is filed as Exhibit 99.1 to this Amendment No. 1 to the Original Form 8-K and is incorporated herein by reference: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Unaudited Pro Forma Condensed Consolidated Balance Sheet as of April 4,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Unaudited Pro Forma Condensed Consolidated Statements of Earnings for the three months ended April 4, 2026 and each of the fiscal years ended January 3, 2026, December 28, 2024 and December 30, 2023.</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Notes to Unaudited Pro Forma Condensed Consolidated Financial Statements.</w:t>
      </w:r>
    </w:p>
    <w:tbl>
      <w:tblPr>
        <w:tblW w:w="1558"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
        <w:gridCol w:w="259"/>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9045" w:type="dxa"/>
        <w:jc w:val="left"/>
        <w:tblInd w:w="0" w:type="dxa"/>
        <w:tblLayout w:type="fixed"/>
        <w:tblCellMar>
          <w:top w:w="28" w:type="dxa"/>
          <w:left w:w="28" w:type="dxa"/>
          <w:bottom w:w="28" w:type="dxa"/>
          <w:right w:w="28" w:type="dxa"/>
        </w:tblCellMar>
      </w:tblPr>
      <w:tblGrid>
        <w:gridCol w:w="391"/>
        <w:gridCol w:w="344"/>
        <w:gridCol w:w="345"/>
        <w:gridCol w:w="2327"/>
        <w:gridCol w:w="2327"/>
        <w:gridCol w:w="331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991unauditedproforma.htm">
              <w:r>
                <w:rPr>
                  <w:rStyle w:val="InternetLink"/>
                  <w:rFonts w:ascii="Times New Roman;serif" w:hAnsi="Times New Roman;serif"/>
                  <w:b w:val="false"/>
                  <w:color w:val="0000FF"/>
                  <w:sz w:val="20"/>
                  <w:u w:val="single"/>
                </w:rPr>
                <w:t>The Middleby Corporation Unaudited Pro Forma Condensed Consolidated Financial Statements</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279" w:type="dxa"/>
        <w:jc w:val="left"/>
        <w:tblInd w:w="0" w:type="dxa"/>
        <w:tblLayout w:type="fixed"/>
        <w:tblCellMar>
          <w:top w:w="28" w:type="dxa"/>
          <w:left w:w="28" w:type="dxa"/>
          <w:bottom w:w="28" w:type="dxa"/>
          <w:right w:w="28" w:type="dxa"/>
        </w:tblCellMar>
      </w:tblPr>
      <w:tblGrid>
        <w:gridCol w:w="216"/>
        <w:gridCol w:w="191"/>
        <w:gridCol w:w="192"/>
        <w:gridCol w:w="369"/>
        <w:gridCol w:w="369"/>
        <w:gridCol w:w="371"/>
        <w:gridCol w:w="109"/>
        <w:gridCol w:w="109"/>
        <w:gridCol w:w="109"/>
        <w:gridCol w:w="109"/>
        <w:gridCol w:w="109"/>
        <w:gridCol w:w="109"/>
        <w:gridCol w:w="318"/>
        <w:gridCol w:w="318"/>
        <w:gridCol w:w="318"/>
        <w:gridCol w:w="318"/>
        <w:gridCol w:w="318"/>
        <w:gridCol w:w="318"/>
        <w:gridCol w:w="587"/>
        <w:gridCol w:w="587"/>
        <w:gridCol w:w="83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MIDDLEBY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6, 2026, The Middleby Corporation (the “company”) completed separation of its food processing business, Midera Food Processing, Inc. (“Midera”), into a new, publicly traded company (the “Spin-off”). The Spin-off was achieved through the distribution by the company of 100% of the issued and outstanding shares of Midera common stock on a pro rata basis to the holders of the company’s common stock. Each company stockholder received one share of Midera common stock for every one share of company common stock held of record as of 4:00 p.m., Central Time, on June 26, 2026. Midera is now an independent public company, and Midera common stock commenced trading “regular way” under the symbol “MFP” on The Nasdaq Stock Market LLC on July 7, 2026, the next trading day following the date of the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Spin-off, the company entered into a transition services agreement (“TSA”). Under the terms of the TSA, the company and Midera will each provide specified services, including information technology, payroll and benefits, accounting, finance, compliance and administrative activities, to the other on a transitional basis to help ensure an orderly transition following the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After the Spin-off, the company will no longer consolidate Midera into its financial results. Beginning in the third quarter of 2026, the historical financial results of the Food Processing business for periods prior to the Spin-off will be reflected in the company’s consolidated financial statements as discontinued operations.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of the company are intended to illustrate the estimated effects of the Spin-off and have been derived from the historical consolidated financial statements of the company. The assumptions and adjustments are set forth in the accompanying notes.</w:t>
      </w:r>
    </w:p>
    <w:p>
      <w:pPr>
        <w:pStyle w:val="TextBody"/>
        <w:bidi w:val="0"/>
        <w:spacing w:lineRule="auto" w:line="288" w:before="0" w:after="120"/>
        <w:jc w:val="left"/>
        <w:rPr/>
      </w:pPr>
      <w:r>
        <w:rPr>
          <w:rFonts w:ascii="Times New Roman;serif" w:hAnsi="Times New Roman;serif"/>
          <w:b w:val="false"/>
          <w:color w:val="000000"/>
          <w:sz w:val="20"/>
        </w:rPr>
        <w:t xml:space="preserve">The unaudited pro forma condensed consolidated balance sheet as of April 4, 2026 is presented as if the Spin-off had occurred on April 4, 2026. The unaudited pro forma condensed consolidated statements of earnings for the three months ended April 4, 2026, and the fiscal year ended January 3, 2026, are presented as if the Spin-off had occurred on December 29, 2024, the first day of the company’s most recently completed fiscal year. The unaudited pro forma condensed consolidated statements of earnings for the fiscal years ended December 28, 2024 and December 30, 2023 are also presented to reflect the Food Processing business as discontinued operations in accordance with ASC 205, </w:t>
      </w:r>
      <w:r>
        <w:rPr>
          <w:rFonts w:ascii="Times New Roman;serif" w:hAnsi="Times New Roman;serif"/>
          <w:b w:val="false"/>
          <w:i/>
          <w:color w:val="000000"/>
          <w:sz w:val="20"/>
        </w:rPr>
        <w:t>Presentation of Financial Statements</w:t>
      </w:r>
      <w:r>
        <w:rPr>
          <w:rFonts w:ascii="Times New Roman;serif" w:hAnsi="Times New Roman;serif"/>
          <w:b w:val="false"/>
          <w:color w:val="000000"/>
          <w:sz w:val="20"/>
        </w:rPr>
        <w:t>, for all annual periods presented in the company’s most recent Annual Report on Form 10-K. The unaudited pro forma condensed consolidated statements of earnings are only presented through net earnings from continuing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were prepared in accordance with Article 11 of the Securities and Exchange Commission’s Regulation S-X, as amended, and have been prepared based upon the best available information and management estimates and is subject to assumptions described in the accompanying notes. They are not intended to be a complete presentation of the company’s financial position or results of operations had the Spin-off occurred as of and for the periods indicated. In addition, the unaudited pro forma condensed consolidated financial statements are provided for illustrative and informational purposes only, and are not necessarily indicative of the company’s future results of operations or financial condition had the Spin-off been completed on the dates assumed. Management believes these assumptions and estimates are reasonable, given the information available as of the filing date.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and accompanying notes should be read in conjunction with the audited consolidated financial statements, accompanying notes, and Management’s Discussion and Analysis of Financial Condition and Results of Operations included in the company’s Annual Report on Form 10-K for the fiscal year ended January 3, 2026 and the unaudited condensed consolidated financial statements, accompanying notes, and Management’s Discussion and Analysis of Financial Condition and Results of Operations included in the company’s Quarterly Report on Form 10-Q for the three months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BALANCE SHEET</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AS OF APRIL 4,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419"/>
        <w:gridCol w:w="828"/>
        <w:gridCol w:w="797"/>
        <w:gridCol w:w="211"/>
        <w:gridCol w:w="976"/>
        <w:gridCol w:w="109"/>
        <w:gridCol w:w="109"/>
        <w:gridCol w:w="109"/>
        <w:gridCol w:w="109"/>
        <w:gridCol w:w="234"/>
        <w:gridCol w:w="1137"/>
        <w:gridCol w:w="121"/>
        <w:gridCol w:w="109"/>
        <w:gridCol w:w="109"/>
        <w:gridCol w:w="109"/>
        <w:gridCol w:w="457"/>
        <w:gridCol w:w="1336"/>
        <w:gridCol w:w="238"/>
        <w:gridCol w:w="113"/>
        <w:gridCol w:w="113"/>
        <w:gridCol w:w="113"/>
        <w:gridCol w:w="211"/>
        <w:gridCol w:w="976"/>
        <w:gridCol w:w="162"/>
      </w:tblGrid>
      <w:tr>
        <w:trPr/>
        <w:tc>
          <w:tcPr>
            <w:tcW w:w="14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Midera Spin-off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 -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(530,457)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1,117,919 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 -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(2,110,057)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3,169,453 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(1,383,508)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4,043,435 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STATEMENT OF EARNINGS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 THE THREE MONTHS ENDED APRIL 4,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348"/>
        <w:gridCol w:w="892"/>
        <w:gridCol w:w="906"/>
        <w:gridCol w:w="211"/>
        <w:gridCol w:w="826"/>
        <w:gridCol w:w="109"/>
        <w:gridCol w:w="109"/>
        <w:gridCol w:w="109"/>
        <w:gridCol w:w="109"/>
        <w:gridCol w:w="258"/>
        <w:gridCol w:w="1077"/>
        <w:gridCol w:w="133"/>
        <w:gridCol w:w="109"/>
        <w:gridCol w:w="109"/>
        <w:gridCol w:w="109"/>
        <w:gridCol w:w="507"/>
        <w:gridCol w:w="1481"/>
        <w:gridCol w:w="264"/>
        <w:gridCol w:w="114"/>
        <w:gridCol w:w="114"/>
        <w:gridCol w:w="114"/>
        <w:gridCol w:w="211"/>
        <w:gridCol w:w="826"/>
        <w:gridCol w:w="160"/>
      </w:tblGrid>
      <w:tr>
        <w:trPr/>
        <w:tc>
          <w:tcPr>
            <w:tcW w:w="134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Midera Spin-off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continuing operations: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STATEMENT OF EARNINGS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 THE FISCAL YEAR ENDED JANUARY 3,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276"/>
        <w:gridCol w:w="844"/>
        <w:gridCol w:w="857"/>
        <w:gridCol w:w="211"/>
        <w:gridCol w:w="976"/>
        <w:gridCol w:w="109"/>
        <w:gridCol w:w="109"/>
        <w:gridCol w:w="109"/>
        <w:gridCol w:w="109"/>
        <w:gridCol w:w="254"/>
        <w:gridCol w:w="1055"/>
        <w:gridCol w:w="131"/>
        <w:gridCol w:w="109"/>
        <w:gridCol w:w="109"/>
        <w:gridCol w:w="109"/>
        <w:gridCol w:w="484"/>
        <w:gridCol w:w="1414"/>
        <w:gridCol w:w="252"/>
        <w:gridCol w:w="114"/>
        <w:gridCol w:w="114"/>
        <w:gridCol w:w="114"/>
        <w:gridCol w:w="211"/>
        <w:gridCol w:w="976"/>
        <w:gridCol w:w="159"/>
      </w:tblGrid>
      <w:tr>
        <w:trPr/>
        <w:tc>
          <w:tcPr>
            <w:tcW w:w="127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Midera Spin-off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(850,155)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continuing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STATEMENT OF EARNINGS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 THE FISCAL YEAR ENDED DECEMBER 28, 2024</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9800" w:type="dxa"/>
        <w:jc w:val="center"/>
        <w:tblInd w:w="0" w:type="dxa"/>
        <w:tblLayout w:type="fixed"/>
        <w:tblCellMar>
          <w:top w:w="28" w:type="dxa"/>
          <w:left w:w="28" w:type="dxa"/>
          <w:bottom w:w="28" w:type="dxa"/>
          <w:right w:w="28" w:type="dxa"/>
        </w:tblCellMar>
      </w:tblPr>
      <w:tblGrid>
        <w:gridCol w:w="2044"/>
        <w:gridCol w:w="1352"/>
        <w:gridCol w:w="1374"/>
        <w:gridCol w:w="211"/>
        <w:gridCol w:w="976"/>
        <w:gridCol w:w="109"/>
        <w:gridCol w:w="109"/>
        <w:gridCol w:w="109"/>
        <w:gridCol w:w="109"/>
        <w:gridCol w:w="300"/>
        <w:gridCol w:w="1284"/>
        <w:gridCol w:w="155"/>
        <w:gridCol w:w="109"/>
        <w:gridCol w:w="109"/>
        <w:gridCol w:w="109"/>
        <w:gridCol w:w="211"/>
        <w:gridCol w:w="976"/>
        <w:gridCol w:w="154"/>
      </w:tblGrid>
      <w:tr>
        <w:trPr/>
        <w:tc>
          <w:tcPr>
            <w:tcW w:w="20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Midera Spin-off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plant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continuing operations: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UNAUDITED PRO FORMA CONDENSED CONSOLIDATED STATEMENT OF EARNINGS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 THE FISCAL YEAR ENDED DECEMBER 30, 2023</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9800" w:type="dxa"/>
        <w:jc w:val="center"/>
        <w:tblInd w:w="0" w:type="dxa"/>
        <w:tblLayout w:type="fixed"/>
        <w:tblCellMar>
          <w:top w:w="28" w:type="dxa"/>
          <w:left w:w="28" w:type="dxa"/>
          <w:bottom w:w="28" w:type="dxa"/>
          <w:right w:w="28" w:type="dxa"/>
        </w:tblCellMar>
      </w:tblPr>
      <w:tblGrid>
        <w:gridCol w:w="2044"/>
        <w:gridCol w:w="1352"/>
        <w:gridCol w:w="1374"/>
        <w:gridCol w:w="211"/>
        <w:gridCol w:w="976"/>
        <w:gridCol w:w="109"/>
        <w:gridCol w:w="109"/>
        <w:gridCol w:w="109"/>
        <w:gridCol w:w="109"/>
        <w:gridCol w:w="300"/>
        <w:gridCol w:w="1284"/>
        <w:gridCol w:w="155"/>
        <w:gridCol w:w="109"/>
        <w:gridCol w:w="109"/>
        <w:gridCol w:w="109"/>
        <w:gridCol w:w="211"/>
        <w:gridCol w:w="976"/>
        <w:gridCol w:w="154"/>
      </w:tblGrid>
      <w:tr>
        <w:trPr/>
        <w:tc>
          <w:tcPr>
            <w:tcW w:w="20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Midera Spin-off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continuing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NOTES TO UNAUDITED PRO FORMA CONDENSED CONSOLIDATED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Midera Spin-off:</w:t>
      </w:r>
    </w:p>
    <w:p>
      <w:pPr>
        <w:pStyle w:val="TextBody"/>
        <w:bidi w:val="0"/>
        <w:spacing w:lineRule="auto" w:line="288" w:before="0" w:after="120"/>
        <w:ind w:left="0" w:right="0" w:hanging="720"/>
        <w:jc w:val="left"/>
        <w:rPr/>
      </w:pPr>
      <w:r>
        <w:rPr>
          <w:rFonts w:ascii="Times New Roman;serif" w:hAnsi="Times New Roman;serif"/>
          <w:b w:val="false"/>
          <w:color w:val="000000"/>
          <w:sz w:val="20"/>
        </w:rPr>
        <w:t xml:space="preserve">(A)Reflects the company’s current best estimate of the discontinued operations, including assets, liabilities, equity, and results of operations, attributable to Midera that will qualify as discontinued operations in accordance with ASC 205, </w:t>
      </w:r>
      <w:r>
        <w:rPr>
          <w:rFonts w:ascii="Times New Roman;serif" w:hAnsi="Times New Roman;serif"/>
          <w:b w:val="false"/>
          <w:i/>
          <w:color w:val="000000"/>
          <w:sz w:val="20"/>
        </w:rPr>
        <w:t>Presentation of Financial Statements</w:t>
      </w:r>
      <w:r>
        <w:rPr>
          <w:rFonts w:ascii="Times New Roman;serif" w:hAnsi="Times New Roman;serif"/>
          <w:b w:val="false"/>
          <w:color w:val="000000"/>
          <w:sz w:val="20"/>
        </w:rPr>
        <w:t>, which were included in the company’s historical consolidated financial statements. Corporate expenses that were not directly associated with Midera have been excluded as such general corporate expenses do not qualify for inclusion in discontinued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amounts are considered preliminary and could change as the company finalizes discontinued operations accounting to be reported in future filings.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Transaction Accounting Adjustments: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(B)All transactions and balances between the company and Midera were treated as intercompany and eliminated in the company’s historical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adjustments to net sales on the unaudited pro forma condensed consolidated statements of earnings represent sales from the company to Midera that will continue after the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adjustments to cost of sales on the unaudited pro forma condensed consolidated statements of earnings represent 1) estimated cost of sales associated with sales from the company to Midera and 2) purchases of finished goods from Midera that will continue after the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adjustments to accounts receivable, net and accounts payable on the unaudited pro forma condensed consolidated balance sheet represent balances due from or to Midera, respectively, primarily related to the sales and purchase transactions discussed above.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(C)Reflects additional estimated transaction costs of $40.3 million, primarily related to professional service fees, that the company expects to incur subsequent to April 4, 2026 to complete the Spin-off. These costs are expected to be incurred and paid within 12 months of the Spin-off. These additional costs have not been adjusted for on the unaudited pro forma condensed consolidated statements of earnings as they will be classified within discontinued operations once incurred.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(D)Reflects a cash distribution by Alkar Holdings Inc., which will be a wholly owned subsidiary of Midera, to the company in the amount of $233.0 million in connection with the Spin-off, funded primarily by borrowings (by Alkar Holdings Inc.) under Midera’s Senior Secured Revolving Credit Facility. The company expects to use these cash proceeds to repay a portion of its outstanding long-term debt. The unaudited pro forma condensed consolidated statements of earnings adjustments represent the reduction of interest expense to give effect to the anticipated repayment of debt.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(E)Reflects the effect on retained earnings of the balance sheet adjustments described in notes (B), (C) and (D) above.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(F)Reflects estimated flat-fee expense/(income) associated with the TSA.</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(G)The adjustments to the provision for income taxes on the unaudited pro forma condensed consolidated statements of earnings represent the estimated income tax impact of the statement of earnings adjustments described in notes (B), (D) and (F) above, at effective rates of 25.5% for the three months ended April 4, 2026 and 25.7% for the fiscal year ended January 3, 2026. The effective rates were higher than the U.S. statutory tax rate of 21.0% primarily due to state taxes and foreign rate differentials.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adjustment to long-term deferred tax assets on the unaudited pro forma condensed consolidated balance sheet represents the estimated income tax impact of the balance sheet adjustment described in note (C) above.</w:t>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2974</Words>
  <Characters>17461</Characters>
  <CharactersWithSpaces>20075</CharactersWithSpaces>
  <Paragraphs>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