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MIDDLEBY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1-9973</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36-3352497</w:t>
      </w:r>
    </w:p>
    <w:p>
      <w:pPr>
        <w:spacing w:after="0" w:line="23" w:lineRule="exact"/>
        <w:rPr>
          <w:sz w:val="24"/>
          <w:szCs w:val="24"/>
          <w:color w:val="auto"/>
        </w:rPr>
      </w:pPr>
    </w:p>
    <w:p>
      <w:pPr>
        <w:sectPr>
          <w:pgSz w:w="11900" w:h="16838" w:orient="portrait"/>
          <w:cols w:equalWidth="0" w:num="3">
            <w:col w:w="4644" w:space="720"/>
            <w:col w:w="274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28" w:lineRule="exact"/>
        <w:rPr>
          <w:sz w:val="24"/>
          <w:szCs w:val="24"/>
          <w:color w:val="auto"/>
        </w:rPr>
      </w:pPr>
    </w:p>
    <w:p>
      <w:pPr>
        <w:ind w:left="1304"/>
        <w:spacing w:after="0"/>
        <w:rPr>
          <w:sz w:val="20"/>
          <w:szCs w:val="20"/>
          <w:color w:val="auto"/>
        </w:rPr>
      </w:pPr>
      <w:r>
        <w:rPr>
          <w:rFonts w:ascii="Times New Roman" w:cs="Times New Roman" w:eastAsia="Times New Roman" w:hAnsi="Times New Roman"/>
          <w:sz w:val="17"/>
          <w:szCs w:val="17"/>
          <w:b w:val="1"/>
          <w:bCs w:val="1"/>
          <w:color w:val="auto"/>
        </w:rPr>
        <w:t>1400 Toastmaster Drive, Elgin, Illinois</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60120</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(847) 741-3300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MIDD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June 17, 2026, the U.S. Securities and Exchange Commission (the “SEC”) declared effective the Registration Statement on Form 10 (the “Form 10”) filed by Midera Food Processing, Inc. (“Midera”) in connection with the previously announced separation of Midera from The Middleby Corporation (the “Company”) into a new, publicly traded company (the “Spin-off”). In connection with the Spin-off, the Board of Directors of the Company (the “Board”) has approved a record date of June 26, 2026 (the “Record Date”) for the pro rata distribution (the “Distribution”) of all of the issued and outstanding shares of Midera common stock to the holders of Company common stock as of the close of business on the Record Date (the “Record Holders”). As previously announced, the Distribution is expected to be effective as of 12:01 a.m., New York City time, on July 6, 2026 (the “Expected Distribution Date”) and the Record Holders are expected to receive one share of Midera common stock for every share of Company common stock they hold as of the close of business on the Record Date. Completion of the Distribution is conditioned upon the satisfaction or waiver of certain conditions, including, among other things, the Board having formally declared the Distribution, as set forth in the form of Separation and Distribution Agreement filed with the SEC as part of the Form 10.</w:t>
      </w:r>
    </w:p>
    <w:p>
      <w:pPr>
        <w:spacing w:after="0" w:line="194"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The information set forth in this Item 7.01 is deemed to be “furnished” and shall not be deemed to be “filed” for purposes of Section 18 of the Securities Exchange Act of 1934, as amended (the “Exchange Act”), or otherwise subject to the liabilities of that Section. The information set forth in this Item</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7.01 shall not be deemed incorporated by reference into any filing under the Exchange Act or the Securities Act of 1933, as amended, regardless of any general incorporation language in such filing, except as shall be expressly set forth by specific reference in such filing.</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1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80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8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subject to the Private Securities Litigation Reform Act of 1995, including statements regarding expectations with respect to the timing of the Spin-off. The Company cautions investors that such statements are estimates and are highly dependent upon a variety of factors. These forward-looking statements involve known and unknown risks, uncertainties and other factors, which could cause the Company’s actual results, performance or outcomes to differ materially from those expressed or implied in the forward-looking statements. The following are some of the important factors that could cause the Company’s actual results, performance or outcomes to differ materially from those discussed in the forward-looking statements: changing market conditions; volatility in earnings resulting from goodwill impairment losses, which may occur irregularly and in varying amounts; variability in financing costs and interest rates; quarterly variations in operating results; dependence on key customers; risks associated with the Company’s foreign operations, including international exposure, political risks affecting international sales, market acceptance and demand for the Company’s products and the Company’s ability to manage the risk associated with the exposure to foreign currency exchange rate fluctuations; the Company’s ability to protect its trademarks, copyrights and other intellectual property; changing market conditions, including inflation; the impact of competitive products and pricing; the impact of announced management and organizational changes; intense competition in the Company’s business segments including the impact of both new and established global competitors; unfavorable tax law changes and tax authority rulings; cybersecurity attacks and other breaches in security; the continued ability to realize profitable growth through the sourcing and completion of strategic acquisitions; the timely development and market acceptance of the Company’s products; the availability and cost of raw materials; the possibility that the Spin-off will not be consummated within the anticipated time period or at all, including as the result of regulatory, market or other factors, including the possibility that various closing conditions for the Spin-off may not be satisfied; the potential disruption to the Company’s business in connection with the Spin-off; the potential that the Company does not realize all of the expected benefits of the Spin-off; the potential that the Spin-off may be more difficult, time consuming or costly than expected; the failure of the Spin-off to qualify for the expected tax treatment; potential adverse effects of the results of the Spin-off, including on the market price of the Company’s common stock, the ability of the Company to develop and maintain relationships with personnel, customers, suppliers and others with whom it does business or the Company’s business, financial condition, results of operations and financial performance; risks related to diversion of the Company’s management’s attention from its ongoing business operations due to the Spin-off; and other risks detailed in the Company’s SEC filings. All forward-looking statements are expressly qualified in their entirety by these cautionary statements. The forward-looking statements included in this press release are made only as of the date hereof and, except as required by federal securities laws and rules and regulations of the SEC, the Company undertakes no obligation to publicly update or revise any forward-looking statements, whether as a result of new information, future events or otherwise.</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MIDDLEBY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Brittany C. Cerwin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Brittany C. Cerwin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2026-06-17T16:11:28Z</dcterms:created>
  <dcterms:modified xsi:type="dcterms:W3CDTF">2026-06-17T16:11:28Z</dcterms:modified>
</cp:coreProperties>
</file>