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6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August 11, 2026 </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THE MIDDLEBY CORPORATION</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w:t>
      </w:r>
    </w:p>
    <w:tbl>
      <w:tblPr>
        <w:tblW w:w="9132" w:type="dxa"/>
        <w:jc w:val="center"/>
        <w:tblInd w:w="0" w:type="dxa"/>
        <w:tblLayout w:type="fixed"/>
        <w:tblCellMar>
          <w:top w:w="28" w:type="dxa"/>
          <w:left w:w="28" w:type="dxa"/>
          <w:bottom w:w="28" w:type="dxa"/>
          <w:right w:w="28" w:type="dxa"/>
        </w:tblCellMar>
      </w:tblPr>
      <w:tblGrid>
        <w:gridCol w:w="1549"/>
        <w:gridCol w:w="1360"/>
        <w:gridCol w:w="1380"/>
        <w:gridCol w:w="662"/>
        <w:gridCol w:w="662"/>
        <w:gridCol w:w="670"/>
        <w:gridCol w:w="832"/>
        <w:gridCol w:w="832"/>
        <w:gridCol w:w="1185"/>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001-9973</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36-3352497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tbl>
      <w:tblPr>
        <w:tblW w:w="5129" w:type="dxa"/>
        <w:jc w:val="center"/>
        <w:tblInd w:w="0" w:type="dxa"/>
        <w:tblLayout w:type="fixed"/>
        <w:tblCellMar>
          <w:top w:w="28" w:type="dxa"/>
          <w:left w:w="28" w:type="dxa"/>
          <w:bottom w:w="28" w:type="dxa"/>
          <w:right w:w="28" w:type="dxa"/>
        </w:tblCellMar>
      </w:tblPr>
      <w:tblGrid>
        <w:gridCol w:w="945"/>
        <w:gridCol w:w="831"/>
        <w:gridCol w:w="833"/>
        <w:gridCol w:w="234"/>
        <w:gridCol w:w="234"/>
        <w:gridCol w:w="236"/>
        <w:gridCol w:w="260"/>
        <w:gridCol w:w="260"/>
        <w:gridCol w:w="261"/>
        <w:gridCol w:w="303"/>
        <w:gridCol w:w="303"/>
        <w:gridCol w:w="429"/>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1400 Toastmaster Drive,</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Elgin,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Illinois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60120</w:t>
            </w:r>
          </w:p>
        </w:tc>
      </w:tr>
      <w:tr>
        <w:trPr/>
        <w:tc>
          <w:tcPr>
            <w:tcW w:w="4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84" w:type="dxa"/>
        <w:jc w:val="center"/>
        <w:tblInd w:w="0" w:type="dxa"/>
        <w:tblLayout w:type="fixed"/>
        <w:tblCellMar>
          <w:top w:w="28" w:type="dxa"/>
          <w:left w:w="28" w:type="dxa"/>
          <w:bottom w:w="28" w:type="dxa"/>
          <w:right w:w="28" w:type="dxa"/>
        </w:tblCellMar>
      </w:tblPr>
      <w:tblGrid>
        <w:gridCol w:w="1356"/>
        <w:gridCol w:w="1193"/>
        <w:gridCol w:w="1201"/>
        <w:gridCol w:w="164"/>
        <w:gridCol w:w="164"/>
        <w:gridCol w:w="166"/>
        <w:gridCol w:w="245"/>
        <w:gridCol w:w="245"/>
        <w:gridCol w:w="350"/>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(847)</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741-3300</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423" w:type="dxa"/>
        <w:jc w:val="center"/>
        <w:tblInd w:w="0" w:type="dxa"/>
        <w:tblLayout w:type="fixed"/>
        <w:tblCellMar>
          <w:top w:w="28" w:type="dxa"/>
          <w:left w:w="28" w:type="dxa"/>
          <w:bottom w:w="28" w:type="dxa"/>
          <w:right w:w="28" w:type="dxa"/>
        </w:tblCellMar>
      </w:tblPr>
      <w:tblGrid>
        <w:gridCol w:w="620"/>
        <w:gridCol w:w="542"/>
        <w:gridCol w:w="548"/>
        <w:gridCol w:w="564"/>
        <w:gridCol w:w="564"/>
        <w:gridCol w:w="566"/>
        <w:gridCol w:w="1174"/>
        <w:gridCol w:w="1174"/>
        <w:gridCol w:w="1671"/>
      </w:tblGrid>
      <w:tr>
        <w:trPr/>
        <w:tc>
          <w:tcPr>
            <w:tcW w:w="6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MIDD</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tbl>
      <w:tblPr>
        <w:tblW w:w="5009" w:type="dxa"/>
        <w:jc w:val="left"/>
        <w:tblInd w:w="0" w:type="dxa"/>
        <w:tblLayout w:type="fixed"/>
        <w:tblCellMar>
          <w:top w:w="28" w:type="dxa"/>
          <w:left w:w="28" w:type="dxa"/>
          <w:bottom w:w="28" w:type="dxa"/>
          <w:right w:w="28" w:type="dxa"/>
        </w:tblCellMar>
      </w:tblPr>
      <w:tblGrid>
        <w:gridCol w:w="331"/>
        <w:gridCol w:w="291"/>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August 11, 2026, The Middleby Corporation (the “Company”) issued a press release announcing its financial results for the second quarter ended July 4, 2026. A copy of that press release is furnished as Exhibit 99.1 and incorporated herein by reference.</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of this Current Report on Form 8-K (including the exhibit hereto) shall not be considered “filed” under the Securities Exchange Act of 1934, as amended, nor shall it be incorporated by reference into future filings by the Company under the Securities Act of 1933, as amended, or under the Securities Exchange Act of 1934, as amended, unless the Company expressly sets forth in such future filing that such information is to be considered “filed” or incorporated by reference therein.</w:t>
      </w:r>
    </w:p>
    <w:p>
      <w:pPr>
        <w:pStyle w:val="TextBody"/>
        <w:bidi w:val="0"/>
        <w:spacing w:before="0" w:after="0"/>
        <w:ind w:left="0" w:right="0" w:firstLine="490"/>
        <w:jc w:val="left"/>
        <w:rPr/>
      </w:pPr>
      <w:r>
        <w:rPr/>
      </w:r>
    </w:p>
    <w:tbl>
      <w:tblPr>
        <w:tblW w:w="3990" w:type="dxa"/>
        <w:jc w:val="left"/>
        <w:tblInd w:w="0" w:type="dxa"/>
        <w:tblLayout w:type="fixed"/>
        <w:tblCellMar>
          <w:top w:w="28" w:type="dxa"/>
          <w:left w:w="28" w:type="dxa"/>
          <w:bottom w:w="28" w:type="dxa"/>
          <w:right w:w="28" w:type="dxa"/>
        </w:tblCellMar>
      </w:tblPr>
      <w:tblGrid>
        <w:gridCol w:w="331"/>
        <w:gridCol w:w="291"/>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1558"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
        <w:gridCol w:w="259"/>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6465" w:type="dxa"/>
        <w:jc w:val="left"/>
        <w:tblInd w:w="0" w:type="dxa"/>
        <w:tblLayout w:type="fixed"/>
        <w:tblCellMar>
          <w:top w:w="28" w:type="dxa"/>
          <w:left w:w="28" w:type="dxa"/>
          <w:bottom w:w="28" w:type="dxa"/>
          <w:right w:w="28" w:type="dxa"/>
        </w:tblCellMar>
      </w:tblPr>
      <w:tblGrid>
        <w:gridCol w:w="451"/>
        <w:gridCol w:w="396"/>
        <w:gridCol w:w="398"/>
        <w:gridCol w:w="1525"/>
        <w:gridCol w:w="1525"/>
        <w:gridCol w:w="2170"/>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991er-q22026.htm">
              <w:bookmarkStart w:id="0" w:name="i9ba5586f184648039608f85ea9fddf6d_2-1-1-"/>
              <w:bookmarkEnd w:id="0"/>
              <w:r>
                <w:rPr>
                  <w:rStyle w:val="InternetLink"/>
                  <w:rFonts w:ascii="Times New Roman;serif" w:hAnsi="Times New Roman;serif"/>
                  <w:b w:val="false"/>
                  <w:color w:val="000080"/>
                  <w:sz w:val="20"/>
                  <w:u w:val="single"/>
                </w:rPr>
                <w:t xml:space="preserve">Press Release of Financial Results for the </w:t>
              </w:r>
            </w:hyperlink>
            <w:hyperlink w:anchor="middex991er-q22026.htm">
              <w:r>
                <w:rPr>
                  <w:rStyle w:val="InternetLink"/>
                  <w:rFonts w:ascii="Times New Roman;serif" w:hAnsi="Times New Roman;serif"/>
                  <w:b w:val="false"/>
                  <w:color w:val="000080"/>
                  <w:sz w:val="20"/>
                  <w:u w:val="single"/>
                </w:rPr>
                <w:t>Second</w:t>
              </w:r>
            </w:hyperlink>
            <w:hyperlink w:anchor="middex991er-q22026.htm">
              <w:r>
                <w:rPr>
                  <w:rStyle w:val="InternetLink"/>
                  <w:rFonts w:ascii="Times New Roman;serif" w:hAnsi="Times New Roman;serif"/>
                  <w:b w:val="false"/>
                  <w:color w:val="000080"/>
                  <w:sz w:val="20"/>
                  <w:u w:val="single"/>
                </w:rPr>
                <w:t xml:space="preserve"> Quarter 202</w:t>
              </w:r>
            </w:hyperlink>
            <w:hyperlink w:anchor="middex991er-q22026.htm">
              <w:r>
                <w:rPr>
                  <w:rStyle w:val="InternetLink"/>
                  <w:rFonts w:ascii="Times New Roman;serif" w:hAnsi="Times New Roman;serif"/>
                  <w:b w:val="false"/>
                  <w:color w:val="000080"/>
                  <w:sz w:val="20"/>
                  <w:u w:val="single"/>
                </w:rPr>
                <w:t>6</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729" w:type="dxa"/>
        <w:jc w:val="left"/>
        <w:tblInd w:w="0" w:type="dxa"/>
        <w:tblLayout w:type="fixed"/>
        <w:tblCellMar>
          <w:top w:w="28" w:type="dxa"/>
          <w:left w:w="28" w:type="dxa"/>
          <w:bottom w:w="28" w:type="dxa"/>
          <w:right w:w="28" w:type="dxa"/>
        </w:tblCellMar>
      </w:tblPr>
      <w:tblGrid>
        <w:gridCol w:w="254"/>
        <w:gridCol w:w="224"/>
        <w:gridCol w:w="226"/>
        <w:gridCol w:w="484"/>
        <w:gridCol w:w="484"/>
        <w:gridCol w:w="486"/>
        <w:gridCol w:w="109"/>
        <w:gridCol w:w="109"/>
        <w:gridCol w:w="109"/>
        <w:gridCol w:w="109"/>
        <w:gridCol w:w="109"/>
        <w:gridCol w:w="109"/>
        <w:gridCol w:w="318"/>
        <w:gridCol w:w="318"/>
        <w:gridCol w:w="318"/>
        <w:gridCol w:w="318"/>
        <w:gridCol w:w="318"/>
        <w:gridCol w:w="318"/>
        <w:gridCol w:w="587"/>
        <w:gridCol w:w="587"/>
        <w:gridCol w:w="83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MIDDLEBY CORPORATION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6479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47950" cy="514350"/>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color w:val="000000"/>
        </w:rPr>
        <w:t>    </w:t>
      </w:r>
      <w:r>
        <w:rPr>
          <w:rFonts w:ascii="Times New Roman;serif" w:hAnsi="Times New Roman;serif"/>
          <w:b w:val="false"/>
          <w:i/>
          <w:color w:val="000000"/>
          <w:sz w:val="20"/>
        </w:rPr>
        <w:t>1400 Toastmaster Drive, Elgin, Illinois 60120 (847) 741-3300 www.middleby.com</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Middleby Corporation Reports Second Quarter Results</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Q2 2026 results exceeded high end of guidance range for revenue and Adjusted EBITDA</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Organic sales growth of +8% in Commercial Foodservice</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Raises FY 2026 Guidance; Revenue growth of +6-8% in Commercial Foodservice</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Food Processing Spin completed on July 6, 2026</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Repurchased 1.4 million shares (2.9% of shares outstanding) in Q2 2026 and 3.8 million shares (7.8% of shares outstanding) YTD 2026</w:t>
      </w:r>
    </w:p>
    <w:p>
      <w:pPr>
        <w:pStyle w:val="TextBody"/>
        <w:bidi w:val="0"/>
        <w:spacing w:lineRule="auto" w:line="288" w:before="0" w:after="60"/>
        <w:ind w:left="0" w:right="0" w:firstLine="90"/>
        <w:jc w:val="center"/>
        <w:rPr>
          <w:rFonts w:ascii="Times New Roman;serif" w:hAnsi="Times New Roman;serif"/>
          <w:b/>
          <w:color w:val="000000"/>
          <w:sz w:val="20"/>
          <w:u w:val="single"/>
        </w:rPr>
      </w:pPr>
      <w:r>
        <w:rPr>
          <w:rFonts w:ascii="Times New Roman;serif" w:hAnsi="Times New Roman;serif"/>
          <w:b/>
          <w:color w:val="000000"/>
          <w:sz w:val="20"/>
          <w:u w:val="single"/>
        </w:rPr>
        <w:t>SECOND QUARTER CONTINUING OPERATIONS HIGHLIGHTS</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All results reflect Food Processing as continuing operations, unless otherwise stated, given reporting of Food Processing historical financials under discontinued operations will be reflected starting in Q3 2026</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Net Sales of $876 million increased 10% over prior year; 6% on organic basis</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Operating income of $148 million as compared to $148 million in prior year, includes $14 million for strategic transaction costs associated with the business portfolio transformation</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Adjusted EBITDA of $193 million as compared to $182 million in prior year</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Diluted GAAP EPS of $1.20 as compared to $1.91</w:t>
      </w:r>
      <w:r>
        <w:rPr>
          <w:color w:val="000000"/>
        </w:rPr>
        <w:t xml:space="preserve"> </w:t>
      </w:r>
      <w:r>
        <w:rPr>
          <w:rFonts w:ascii="Times New Roman;serif" w:hAnsi="Times New Roman;serif"/>
          <w:b w:val="false"/>
          <w:color w:val="000000"/>
          <w:sz w:val="20"/>
        </w:rPr>
        <w:t>i</w:t>
      </w:r>
      <w:r>
        <w:rPr>
          <w:rFonts w:ascii="Times New Roman;serif" w:hAnsi="Times New Roman;serif"/>
          <w:b/>
          <w:color w:val="000000"/>
          <w:sz w:val="20"/>
        </w:rPr>
        <w:t>n prior year</w:t>
      </w:r>
    </w:p>
    <w:p>
      <w:pPr>
        <w:pStyle w:val="TextBody"/>
        <w:bidi w:val="0"/>
        <w:spacing w:lineRule="auto" w:line="288" w:before="0" w:after="60"/>
        <w:ind w:left="0" w:right="0" w:hanging="270"/>
        <w:jc w:val="left"/>
        <w:rPr/>
      </w:pPr>
      <w:r>
        <w:rPr>
          <w:color w:val="000000"/>
        </w:rPr>
        <w:t>•</w:t>
      </w:r>
      <w:r>
        <w:rPr>
          <w:rFonts w:ascii="Times New Roman;serif" w:hAnsi="Times New Roman;serif"/>
          <w:b/>
          <w:color w:val="000000"/>
          <w:sz w:val="20"/>
        </w:rPr>
        <w:t>Adjusted EPS of $2.35 as compared to $2.20 in prior year</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Q2 ending net leverage at 2.4x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Elgin, Ill, August 11, 2026 - The Middleby Corporation (NASDAQ: MIDD), a global leader in commercial foodservice solutions, today reported net earnings for the second quarter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Tim FitzGerald, CEO of the Middleby Corporation said, "The second quarter marked a transformational milestone for our company as we successfully completed the separation of our Food Processing business and launched Midera as an independent, publicly traded leader in food processing equipment. With this separation, Middleby is now a pure-play commercial foodservice company, focused on driving innovation and growth across the global foodservice industry. Throughout this transformation, we remained committed to disciplined capital allocation, repurchasing approximately 1.4 million shares, or 3% of our outstanding shares, during the second quarter and 8.7 million shares, or 16% of our outstanding shares, over the past six quarters. These actions underscore our confidence in the strength of our business and our commitment to creating long-term shareholder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Tim FitzGerald continued, "We delivered strong second quarter results at our commercial foodservice business with 8% organic growth that was broad-based across channels, customer types, and regions. The strategic investments we have made in recent years are delivering results, and we continue to define the future of commercial foodservice through industry-leading innovation and customer-focused solutions. These results give us great confidence as we begin our journey as a pure-play commercial foodservice leader."</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2026 Second Quarter Financial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results presented are on the reported second quarter continuing operations basis, inclusive of Food Processing unless otherwise noted.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increased 9.9% in the second quarter over the comparative prior year period. Excluding the impacts of acquisitions and foreign exchange rates, sales increased 6.4% in the second quarter over the comparative prior 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reconciliation of organic net sales (a non-GAAP measure) by segment is as follows:</w:t>
      </w:r>
    </w:p>
    <w:tbl>
      <w:tblPr>
        <w:tblW w:w="8379" w:type="dxa"/>
        <w:jc w:val="left"/>
        <w:tblInd w:w="0" w:type="dxa"/>
        <w:tblLayout w:type="fixed"/>
        <w:tblCellMar>
          <w:top w:w="28" w:type="dxa"/>
          <w:left w:w="28" w:type="dxa"/>
          <w:bottom w:w="28" w:type="dxa"/>
          <w:right w:w="28" w:type="dxa"/>
        </w:tblCellMar>
      </w:tblPr>
      <w:tblGrid>
        <w:gridCol w:w="1184"/>
        <w:gridCol w:w="1040"/>
        <w:gridCol w:w="1043"/>
        <w:gridCol w:w="265"/>
        <w:gridCol w:w="795"/>
        <w:gridCol w:w="380"/>
        <w:gridCol w:w="134"/>
        <w:gridCol w:w="134"/>
        <w:gridCol w:w="134"/>
        <w:gridCol w:w="259"/>
        <w:gridCol w:w="777"/>
        <w:gridCol w:w="370"/>
        <w:gridCol w:w="134"/>
        <w:gridCol w:w="134"/>
        <w:gridCol w:w="134"/>
        <w:gridCol w:w="259"/>
        <w:gridCol w:w="777"/>
        <w:gridCol w:w="42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br/>
              <w:t>Foodservice</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w:t>
              <w:br/>
              <w:t>Processing</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Company</w:t>
            </w:r>
          </w:p>
        </w:tc>
      </w:tr>
      <w:tr>
        <w:trPr/>
        <w:tc>
          <w:tcPr>
            <w:tcW w:w="326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630.6</w:t>
            </w:r>
            <w:r>
              <w:rPr>
                <w:color w:val="000000"/>
              </w:rPr>
              <w:t>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244.9</w:t>
            </w:r>
            <w:r>
              <w:rPr>
                <w:color w:val="000000"/>
              </w:rPr>
              <w:t>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875.5</w:t>
            </w:r>
            <w:r>
              <w:rPr>
                <w:color w:val="000000"/>
              </w:rPr>
              <w:t>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Net Sales Growth</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Net Sales Growth</w:t>
            </w:r>
            <w:r>
              <w:rPr>
                <w:rFonts w:ascii="Times New Roman;serif" w:hAnsi="Times New Roman;serif"/>
                <w:b/>
                <w:color w:val="000000"/>
                <w:sz w:val="13"/>
              </w:rPr>
              <w:t>(1)(2)</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Organic net sales growth defined as total sales growth excluding impact of acquisitions and foreign exchange rates.</w:t>
            </w:r>
          </w:p>
        </w:tc>
      </w:tr>
      <w:tr>
        <w:trPr/>
        <w:tc>
          <w:tcPr>
            <w:tcW w:w="83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Totals may be impacted by rounding.</w:t>
            </w:r>
          </w:p>
        </w:tc>
      </w:tr>
    </w:tbl>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Adjusted EBITDA (a non-GAAP measure) was $193.2 million in the second quarter compared to $181.6 million in the prior year.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reconciliation of organic adjusted EBITDA (a non-GAAP measure) by segment is as follows:</w:t>
      </w:r>
    </w:p>
    <w:tbl>
      <w:tblPr>
        <w:tblW w:w="9595" w:type="dxa"/>
        <w:jc w:val="left"/>
        <w:tblInd w:w="0" w:type="dxa"/>
        <w:tblLayout w:type="fixed"/>
        <w:tblCellMar>
          <w:top w:w="28" w:type="dxa"/>
          <w:left w:w="28" w:type="dxa"/>
          <w:bottom w:w="28" w:type="dxa"/>
          <w:right w:w="28" w:type="dxa"/>
        </w:tblCellMar>
      </w:tblPr>
      <w:tblGrid>
        <w:gridCol w:w="1472"/>
        <w:gridCol w:w="1292"/>
        <w:gridCol w:w="1296"/>
        <w:gridCol w:w="295"/>
        <w:gridCol w:w="883"/>
        <w:gridCol w:w="422"/>
        <w:gridCol w:w="149"/>
        <w:gridCol w:w="149"/>
        <w:gridCol w:w="149"/>
        <w:gridCol w:w="288"/>
        <w:gridCol w:w="719"/>
        <w:gridCol w:w="411"/>
        <w:gridCol w:w="149"/>
        <w:gridCol w:w="149"/>
        <w:gridCol w:w="149"/>
        <w:gridCol w:w="288"/>
        <w:gridCol w:w="862"/>
        <w:gridCol w:w="473"/>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br/>
              <w:t>Foodservice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w:t>
              <w:br/>
              <w:t>Processing</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pPr>
            <w:r>
              <w:rPr>
                <w:rFonts w:ascii="Times New Roman;serif" w:hAnsi="Times New Roman;serif"/>
                <w:b/>
                <w:color w:val="000000"/>
                <w:sz w:val="20"/>
              </w:rPr>
              <w:t>Company</w:t>
            </w:r>
            <w:r>
              <w:rPr>
                <w:rFonts w:ascii="Times New Roman;serif" w:hAnsi="Times New Roman;serif"/>
                <w:b/>
                <w:color w:val="000000"/>
                <w:sz w:val="13"/>
              </w:rPr>
              <w:t>(1)</w:t>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w:t>
            </w:r>
            <w:r>
              <w:rPr>
                <w:color w:val="000000"/>
              </w:rPr>
              <w:t> </w:t>
            </w:r>
          </w:p>
        </w:tc>
        <w:tc>
          <w:tcPr>
            <w:tcW w:w="4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193.2</w:t>
            </w:r>
            <w:r>
              <w:rPr>
                <w:color w:val="000000"/>
              </w:rPr>
              <w:t> </w:t>
            </w:r>
          </w:p>
        </w:tc>
        <w:tc>
          <w:tcPr>
            <w:tcW w:w="4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4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Adjusted EBITDA %</w:t>
            </w:r>
            <w:r>
              <w:rPr>
                <w:rFonts w:ascii="Times New Roman;serif" w:hAnsi="Times New Roman;serif"/>
                <w:b/>
                <w:color w:val="000000"/>
                <w:sz w:val="13"/>
              </w:rPr>
              <w:t>(2)(3)</w:t>
            </w:r>
          </w:p>
        </w:tc>
        <w:tc>
          <w:tcPr>
            <w:tcW w:w="11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4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4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corporate and other general company expenses, which impact Segment Adjusted EBITDA, and amounted to $19.2 million.</w:t>
            </w:r>
          </w:p>
        </w:tc>
      </w:tr>
      <w:tr>
        <w:trPr/>
        <w:tc>
          <w:tcPr>
            <w:tcW w:w="959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Organic Adjusted EBITDA defined as Adjusted EBITDA excluding impact of acquisitions and foreign exchange rates.</w:t>
            </w:r>
          </w:p>
        </w:tc>
      </w:tr>
      <w:tr>
        <w:trPr/>
        <w:tc>
          <w:tcPr>
            <w:tcW w:w="959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Totals may be impacted by rounding.</w:t>
            </w:r>
          </w:p>
        </w:tc>
      </w:tr>
    </w:tbl>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Operating cash flows during the second quarter amounted to $99.7 million compared to $91.8 million in the prior year. Operating cash flows during the second quarter also include $7.5 million of payments of strategic transaction costs associated with the business portfolio transformation.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Adjusted EPS excluding Food Processing is estimated to be $1.74 for second quarter compared to $1.40 in the prior year. These are preliminary estimates and will be finalized in Q3 2026 as the company reports the historical Food Processing results within discontinued operations. The growth in Adjusted EPS includes an increase related to organic growth, benefits from share repurchases and a discrete benefit related to foreign currency as part of the separation of the Food Processing business, partially offset by higher interest costs associated with the convertible notes maturity and a higher tax rate. Please reference the guidance section of the earnings release and our earnings slides for further details.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total leverage ratio per our credit agreements was 2.4x. The trailing twelve-month bank agreement pro-forma EBITDA was $787.7 million. Post spin the estimated total leverage ratio per our credit agreement was 2.7x.</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debt, defined as debt less cash, at the end of the 2026 fiscal second quarter amounted to $1.8 billion as compared to $2.0 billion at the end of fiscal 2025. Our borrowing availability at the end of the second quarter was approximately $2.6 billion.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2026 Outlook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also provided the following expectations for the third quarter and full year 2026 for the total company post-spin of the Food Processing business and excluding Residential:</w:t>
      </w:r>
    </w:p>
    <w:tbl>
      <w:tblPr>
        <w:tblW w:w="10205" w:type="dxa"/>
        <w:jc w:val="left"/>
        <w:tblInd w:w="0" w:type="dxa"/>
        <w:tblLayout w:type="fixed"/>
        <w:tblCellMar>
          <w:top w:w="28" w:type="dxa"/>
          <w:left w:w="28" w:type="dxa"/>
          <w:bottom w:w="28" w:type="dxa"/>
          <w:right w:w="28" w:type="dxa"/>
        </w:tblCellMar>
      </w:tblPr>
      <w:tblGrid>
        <w:gridCol w:w="1370"/>
        <w:gridCol w:w="1195"/>
        <w:gridCol w:w="1207"/>
        <w:gridCol w:w="899"/>
        <w:gridCol w:w="890"/>
        <w:gridCol w:w="897"/>
        <w:gridCol w:w="235"/>
        <w:gridCol w:w="235"/>
        <w:gridCol w:w="235"/>
        <w:gridCol w:w="892"/>
        <w:gridCol w:w="887"/>
        <w:gridCol w:w="1263"/>
      </w:tblGrid>
      <w:tr>
        <w:trPr/>
        <w:tc>
          <w:tcPr>
            <w:tcW w:w="137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3rd Qtr, 2026</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2026</w:t>
            </w:r>
          </w:p>
        </w:tc>
      </w:tr>
      <w:tr>
        <w:trPr/>
        <w:tc>
          <w:tcPr>
            <w:tcW w:w="3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$620-$640 M</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$2.48-2.53 B</w:t>
            </w:r>
          </w:p>
        </w:tc>
      </w:tr>
      <w:tr>
        <w:trPr/>
        <w:tc>
          <w:tcPr>
            <w:tcW w:w="3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Organic Growth</w:t>
            </w:r>
          </w:p>
        </w:tc>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r>
      <w:tr>
        <w:trPr/>
        <w:tc>
          <w:tcPr>
            <w:tcW w:w="37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$143-150 M</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$572-588 M</w:t>
            </w:r>
          </w:p>
        </w:tc>
      </w:tr>
      <w:tr>
        <w:trPr/>
        <w:tc>
          <w:tcPr>
            <w:tcW w:w="37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EPS</w:t>
            </w:r>
            <w:r>
              <w:rPr>
                <w:rFonts w:ascii="Times New Roman;serif" w:hAnsi="Times New Roman;serif"/>
                <w:b w:val="false"/>
                <w:color w:val="000000"/>
                <w:sz w:val="13"/>
              </w:rPr>
              <w:t>(2)</w:t>
            </w:r>
          </w:p>
        </w:tc>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$1.67-1.83</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$6.73-6.89</w:t>
            </w:r>
          </w:p>
        </w:tc>
      </w:tr>
      <w:tr>
        <w:trPr/>
        <w:tc>
          <w:tcPr>
            <w:tcW w:w="3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corporate and other general company operations.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FY 2026 Adjusted EPS expectation is the sum of the four quarters of Adjusted EPS, please reference earnings slides for further detail on guidance.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the third quarter of 2026, the historical financial results of the Food Processing business for periods prior to the spin-off will be reflected in the company’s consolidated financial statements as discontinued operations. The below amounts represent Middleby excluding Food Processing and Residential which are to be considered preliminary and could change as the company finalizes discontinued operations. </w:t>
      </w:r>
    </w:p>
    <w:tbl>
      <w:tblPr>
        <w:tblW w:w="4617" w:type="dxa"/>
        <w:jc w:val="left"/>
        <w:tblInd w:w="0" w:type="dxa"/>
        <w:tblLayout w:type="fixed"/>
        <w:tblCellMar>
          <w:top w:w="28" w:type="dxa"/>
          <w:left w:w="28" w:type="dxa"/>
          <w:bottom w:w="28" w:type="dxa"/>
          <w:right w:w="28" w:type="dxa"/>
        </w:tblCellMar>
      </w:tblPr>
      <w:tblGrid>
        <w:gridCol w:w="640"/>
        <w:gridCol w:w="561"/>
        <w:gridCol w:w="569"/>
        <w:gridCol w:w="399"/>
        <w:gridCol w:w="399"/>
        <w:gridCol w:w="402"/>
        <w:gridCol w:w="109"/>
        <w:gridCol w:w="109"/>
        <w:gridCol w:w="109"/>
        <w:gridCol w:w="386"/>
        <w:gridCol w:w="386"/>
        <w:gridCol w:w="548"/>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1st Qtr,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M</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M</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corporate and other general company operations.</w:t>
            </w:r>
          </w:p>
        </w:tc>
      </w:tr>
    </w:tbl>
    <w:tbl>
      <w:tblPr>
        <w:tblW w:w="9468" w:type="dxa"/>
        <w:jc w:val="left"/>
        <w:tblInd w:w="0" w:type="dxa"/>
        <w:tblLayout w:type="fixed"/>
        <w:tblCellMar>
          <w:top w:w="28" w:type="dxa"/>
          <w:left w:w="28" w:type="dxa"/>
          <w:bottom w:w="28" w:type="dxa"/>
          <w:right w:w="28" w:type="dxa"/>
        </w:tblCellMar>
      </w:tblPr>
      <w:tblGrid>
        <w:gridCol w:w="640"/>
        <w:gridCol w:w="561"/>
        <w:gridCol w:w="569"/>
        <w:gridCol w:w="399"/>
        <w:gridCol w:w="399"/>
        <w:gridCol w:w="402"/>
        <w:gridCol w:w="109"/>
        <w:gridCol w:w="109"/>
        <w:gridCol w:w="109"/>
        <w:gridCol w:w="424"/>
        <w:gridCol w:w="424"/>
        <w:gridCol w:w="427"/>
        <w:gridCol w:w="109"/>
        <w:gridCol w:w="109"/>
        <w:gridCol w:w="109"/>
        <w:gridCol w:w="419"/>
        <w:gridCol w:w="419"/>
        <w:gridCol w:w="422"/>
        <w:gridCol w:w="109"/>
        <w:gridCol w:w="109"/>
        <w:gridCol w:w="109"/>
        <w:gridCol w:w="409"/>
        <w:gridCol w:w="409"/>
        <w:gridCol w:w="412"/>
        <w:gridCol w:w="109"/>
        <w:gridCol w:w="109"/>
        <w:gridCol w:w="109"/>
        <w:gridCol w:w="417"/>
        <w:gridCol w:w="417"/>
        <w:gridCol w:w="591"/>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1st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3rd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4th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B</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M</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8"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corporate and other general company operations.</w:t>
            </w:r>
          </w:p>
        </w:tc>
      </w:tr>
    </w:tbl>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scheduled a conference call to discuss the second quarter results at 10 a.m. Eastern/9 a.m. Central Time on August 11th. The conference call is accessible through the Investor Relations section of the company website at www.middleby.com. If website access is not available, attendees can join the conference by dialing (844) 676-5090, or (412) 634-6754 for international access. The conference call will be available for replay from the company’s website.</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Cautionary Statement Regarding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Statements in this press release or otherwise attributable to the company regarding the company's business which are not historical facts are forward-looking statements made pursuant to the safe harbor provisions of the Private Securities Litigation Reform Act of 1995, including statements regarding our expectations with respect to our future performance and the outcome of our strategic review. The company cautions investors that such statements are estimates of future performance and are highly dependent upon a variety of important factors that could cause actual results to differ materially from such statements. Such factors include variability in financing costs; quarterly variations in operating results; dependence on key customers; international exposure; foreign exchange and political risks affecting international sales; changing market conditions; the impact of competitive products and pricing; the timely development and market acceptance of the company's products; the availability and cost of raw materials; any variation between the preliminary and final historical results of the Food Processing business; and other risks detailed herein and from time-to-time in the company's SEC filings. Any forward-looking statement speaks only as of the date hereof, and the company does not undertake any obligation to publicly update or review any forward-looking statement, whether as a result of new information, future developments or otherwise, except as required by law.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Middleby Corporation is a global leader in commercial foodservice solutions. The well-known Middleby brands develop and manufacture a broad portfolio of innovative products for commercial kitchens worldwide. Middleby serves a diverse customer base with equipment and technology offerings that include cooking, warming, beverage, ice and IoT while proudly showcasing its advanced foodservice solutions in five state-of-the-art Middleby Innovation Kitchens across North America and Europe.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Investor relations inquiries: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Rebecca Ellin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SVP of Corporate Development and Investor Strategy</w: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rellin@middleby.com</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Media inquiries: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Darcy Bretz</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VP of Corporate Communications</w: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dbretz@middleby.com</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Kate Schneiderman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Managing Director, ICR</w: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middleby@icrinc.com</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CONDENSED CONSOLIDATED STATEMENTS OF EARNINGS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 Share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19"/>
        <w:gridCol w:w="1136"/>
        <w:gridCol w:w="1155"/>
        <w:gridCol w:w="228"/>
        <w:gridCol w:w="897"/>
        <w:gridCol w:w="117"/>
        <w:gridCol w:w="111"/>
        <w:gridCol w:w="111"/>
        <w:gridCol w:w="111"/>
        <w:gridCol w:w="228"/>
        <w:gridCol w:w="897"/>
        <w:gridCol w:w="117"/>
        <w:gridCol w:w="111"/>
        <w:gridCol w:w="111"/>
        <w:gridCol w:w="111"/>
        <w:gridCol w:w="215"/>
        <w:gridCol w:w="999"/>
        <w:gridCol w:w="111"/>
        <w:gridCol w:w="111"/>
        <w:gridCol w:w="111"/>
        <w:gridCol w:w="111"/>
        <w:gridCol w:w="215"/>
        <w:gridCol w:w="999"/>
        <w:gridCol w:w="173"/>
      </w:tblGrid>
      <w:tr>
        <w:trPr/>
        <w:tc>
          <w:tcPr>
            <w:tcW w:w="171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918,742 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335,081 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316,102 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658,271 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608,680 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374,898 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329,407 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147,748 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281,102 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277,338 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239,308 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238,290 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equity in net losses of affiliate</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168,393 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Earnings/(loss) from discontinued operations, net of tax</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54,812 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105,956 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198,308 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earnings/(loss) per share</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continuing operations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discontinued operations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continuing operations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discontinued operations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25"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45,343 </w:t>
            </w:r>
          </w:p>
        </w:tc>
        <w:tc>
          <w:tcPr>
            <w:tcW w:w="11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11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1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53,888 </w:t>
            </w:r>
          </w:p>
        </w:tc>
        <w:tc>
          <w:tcPr>
            <w:tcW w:w="17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Earnings/(loss) per share amounts for continuing operations and discontinued operations are calculated independently and may not sum to total earnings per share due to rounding.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CONDENSED 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7673" w:type="dxa"/>
        <w:jc w:val="center"/>
        <w:tblInd w:w="0" w:type="dxa"/>
        <w:tblLayout w:type="fixed"/>
        <w:tblCellMar>
          <w:top w:w="28" w:type="dxa"/>
          <w:left w:w="28" w:type="dxa"/>
          <w:bottom w:w="28" w:type="dxa"/>
          <w:right w:w="28" w:type="dxa"/>
        </w:tblCellMar>
      </w:tblPr>
      <w:tblGrid>
        <w:gridCol w:w="1702"/>
        <w:gridCol w:w="1497"/>
        <w:gridCol w:w="1510"/>
        <w:gridCol w:w="211"/>
        <w:gridCol w:w="976"/>
        <w:gridCol w:w="109"/>
        <w:gridCol w:w="109"/>
        <w:gridCol w:w="109"/>
        <w:gridCol w:w="109"/>
        <w:gridCol w:w="211"/>
        <w:gridCol w:w="976"/>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 -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1,643,808 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2,742,643 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 -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1,068,231 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benefits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SEGMENT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Percentages)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566"/>
        <w:gridCol w:w="1119"/>
        <w:gridCol w:w="1124"/>
        <w:gridCol w:w="342"/>
        <w:gridCol w:w="1363"/>
        <w:gridCol w:w="439"/>
        <w:gridCol w:w="129"/>
        <w:gridCol w:w="129"/>
        <w:gridCol w:w="129"/>
        <w:gridCol w:w="269"/>
        <w:gridCol w:w="1056"/>
        <w:gridCol w:w="346"/>
        <w:gridCol w:w="129"/>
        <w:gridCol w:w="129"/>
        <w:gridCol w:w="129"/>
        <w:gridCol w:w="277"/>
        <w:gridCol w:w="1106"/>
        <w:gridCol w:w="424"/>
      </w:tblGrid>
      <w:tr>
        <w:trPr/>
        <w:tc>
          <w:tcPr>
            <w:tcW w:w="156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Company</w:t>
            </w:r>
            <w:r>
              <w:rPr>
                <w:rFonts w:ascii="Times New Roman;serif" w:hAnsi="Times New Roman;serif"/>
                <w:b/>
                <w:color w:val="000000"/>
                <w:sz w:val="13"/>
              </w:rPr>
              <w:t>(1)</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July 4, 2026</w:t>
            </w:r>
          </w:p>
        </w:tc>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630,613 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244,936 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continuing operations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143,564</w:t>
            </w: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43,978</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147,748</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continuing operations % of net sales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18.0 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consolidation related expenses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EBITDA from continuing operations</w:t>
            </w:r>
            <w:r>
              <w:rPr>
                <w:rFonts w:ascii="Times New Roman;serif" w:hAnsi="Times New Roman;serif"/>
                <w:b/>
                <w:color w:val="000000"/>
                <w:sz w:val="13"/>
              </w:rPr>
              <w:t>(2)</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162,526</w:t>
            </w:r>
            <w:r>
              <w:rPr>
                <w:color w:val="000000"/>
              </w:rPr>
              <w:t> </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49,814</w:t>
            </w:r>
            <w:r>
              <w:rPr>
                <w:color w:val="000000"/>
              </w:rPr>
              <w:t> </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193,179</w:t>
            </w:r>
            <w:r>
              <w:rPr>
                <w:color w:val="000000"/>
              </w:rPr>
              <w:t> </w:t>
            </w:r>
          </w:p>
        </w:tc>
        <w:tc>
          <w:tcPr>
            <w:tcW w:w="4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from continuing operations % of net sales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25.8 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20.3 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22.1 </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28, 2025</w:t>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580,605 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continuing operations</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137,946</w:t>
            </w: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42,679</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147,817</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continuing operations % of net sales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23.8 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18.6 </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 from continuing operations</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156,591</w:t>
            </w:r>
            <w:r>
              <w:rPr>
                <w:color w:val="000000"/>
              </w:rPr>
              <w:t> </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45,849</w:t>
            </w:r>
            <w:r>
              <w:rPr>
                <w:color w:val="000000"/>
              </w:rPr>
              <w:t> </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181,636</w:t>
            </w:r>
            <w:r>
              <w:rPr>
                <w:color w:val="000000"/>
              </w:rPr>
              <w:t> </w:t>
            </w:r>
          </w:p>
        </w:tc>
        <w:tc>
          <w:tcPr>
            <w:tcW w:w="4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from continuing operations % of net sales</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27.0 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21.2 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22.8 </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(1) Includes corporate and other general company expenses, which impact Segment Adjusted EBITDA, and amounted to $19.2 million and $20.8 million for the three months ended July 4, 2026 and June 28, 2025, respectively.</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Foreign exchange rates favorably impacted Segment Adjusted EBITDA by approximatel</w:t>
            </w:r>
            <w:r>
              <w:rPr>
                <w:rFonts w:ascii="Times New Roman;serif" w:hAnsi="Times New Roman;serif"/>
                <w:b w:val="false"/>
                <w:color w:val="000000"/>
                <w:sz w:val="16"/>
                <w:shd w:fill="FFFFFF" w:val="clear"/>
              </w:rPr>
              <w:t xml:space="preserve">y </w:t>
            </w:r>
            <w:r>
              <w:rPr>
                <w:rFonts w:ascii="Times New Roman;serif" w:hAnsi="Times New Roman;serif"/>
                <w:b w:val="false"/>
                <w:color w:val="000000"/>
                <w:sz w:val="16"/>
              </w:rPr>
              <w:t>$0.3 million</w:t>
            </w:r>
            <w:r>
              <w:rPr>
                <w:color w:val="000000"/>
                <w:shd w:fill="FFFFFF" w:val="clear"/>
              </w:rPr>
              <w:t xml:space="preserve"> </w:t>
            </w:r>
            <w:r>
              <w:rPr>
                <w:rFonts w:ascii="Times New Roman;serif" w:hAnsi="Times New Roman;serif"/>
                <w:b w:val="false"/>
                <w:color w:val="000000"/>
                <w:sz w:val="16"/>
              </w:rPr>
              <w:t>for the three months ended July 4, 2026.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SEGMENT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Percentages)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538"/>
        <w:gridCol w:w="1089"/>
        <w:gridCol w:w="1094"/>
        <w:gridCol w:w="316"/>
        <w:gridCol w:w="1467"/>
        <w:gridCol w:w="407"/>
        <w:gridCol w:w="128"/>
        <w:gridCol w:w="128"/>
        <w:gridCol w:w="128"/>
        <w:gridCol w:w="267"/>
        <w:gridCol w:w="1047"/>
        <w:gridCol w:w="343"/>
        <w:gridCol w:w="128"/>
        <w:gridCol w:w="128"/>
        <w:gridCol w:w="128"/>
        <w:gridCol w:w="260"/>
        <w:gridCol w:w="1209"/>
        <w:gridCol w:w="400"/>
      </w:tblGrid>
      <w:tr>
        <w:trPr/>
        <w:tc>
          <w:tcPr>
            <w:tcW w:w="15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Company</w:t>
            </w:r>
            <w:r>
              <w:rPr>
                <w:rFonts w:ascii="Times New Roman;serif" w:hAnsi="Times New Roman;serif"/>
                <w:b/>
                <w:color w:val="000000"/>
                <w:sz w:val="13"/>
              </w:rPr>
              <w:t>(1)</w:t>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 July 4, 2026</w:t>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1,246,149 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continuing operations</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283,230</w:t>
            </w: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78,343</w:t>
            </w: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281,102</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continuing operations % of net sales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22.7 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16.7 </w:t>
            </w:r>
          </w:p>
        </w:tc>
        <w:tc>
          <w:tcPr>
            <w:tcW w:w="3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16.4 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14,546 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consolidation related expenses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24,424 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EBITDA from continuing operations</w:t>
            </w:r>
            <w:r>
              <w:rPr>
                <w:rFonts w:ascii="Times New Roman;serif" w:hAnsi="Times New Roman;serif"/>
                <w:b/>
                <w:color w:val="000000"/>
                <w:sz w:val="13"/>
              </w:rPr>
              <w:t>(2)</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320,926</w:t>
            </w:r>
            <w:r>
              <w:rPr>
                <w:color w:val="000000"/>
              </w:rPr>
              <w:t> </w:t>
            </w:r>
          </w:p>
        </w:tc>
        <w:tc>
          <w:tcPr>
            <w:tcW w:w="4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91,237</w:t>
            </w:r>
            <w:r>
              <w:rPr>
                <w:color w:val="000000"/>
              </w:rPr>
              <w:t> </w:t>
            </w:r>
          </w:p>
        </w:tc>
        <w:tc>
          <w:tcPr>
            <w:tcW w:w="3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373,802</w:t>
            </w:r>
            <w:r>
              <w:rPr>
                <w:color w:val="000000"/>
              </w:rPr>
              <w:t> </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from continuing operations % of net sales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25.8 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19.4 </w:t>
            </w:r>
          </w:p>
        </w:tc>
        <w:tc>
          <w:tcPr>
            <w:tcW w:w="3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21.8 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28, 2025</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1,143,322 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Continuing Operations</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270,042</w:t>
            </w: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66,189</w:t>
            </w: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277,338</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continuing operations % of net sales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23.6 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17.2 </w:t>
            </w:r>
          </w:p>
        </w:tc>
        <w:tc>
          <w:tcPr>
            <w:tcW w:w="3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18.2 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 from continuing operations</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308,021</w:t>
            </w:r>
            <w:r>
              <w:rPr>
                <w:color w:val="000000"/>
              </w:rPr>
              <w:t> </w:t>
            </w:r>
          </w:p>
        </w:tc>
        <w:tc>
          <w:tcPr>
            <w:tcW w:w="4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75,912</w:t>
            </w:r>
            <w:r>
              <w:rPr>
                <w:color w:val="000000"/>
              </w:rPr>
              <w:t> </w:t>
            </w:r>
          </w:p>
        </w:tc>
        <w:tc>
          <w:tcPr>
            <w:tcW w:w="3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343,121</w:t>
            </w:r>
            <w:r>
              <w:rPr>
                <w:color w:val="000000"/>
              </w:rPr>
              <w:t> </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from continuing operations % of net sales</w:t>
            </w:r>
          </w:p>
        </w:tc>
        <w:tc>
          <w:tcPr>
            <w:tcW w:w="17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26.9 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19.8 </w:t>
            </w:r>
          </w:p>
        </w:tc>
        <w:tc>
          <w:tcPr>
            <w:tcW w:w="3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22.5 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6"/>
              </w:rPr>
              <w:t>(1) Includes corporate and other general company expenses, which impact Segment Adjusted EBITDA, and amounted to $38.4 million and $40.8 million for the six months ended July 4, 2026 and June 28, 2025, respectively.</w:t>
            </w:r>
            <w:r>
              <w:rPr>
                <w:color w:val="000000"/>
              </w:rPr>
              <w:t xml:space="preserve"> </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Foreign exchange rates favorably impacted Segment Adjusted EBITDA by $2.6 million for the six months ended July 4, 2026.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 Share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352"/>
        <w:gridCol w:w="1074"/>
        <w:gridCol w:w="1081"/>
        <w:gridCol w:w="255"/>
        <w:gridCol w:w="979"/>
        <w:gridCol w:w="142"/>
        <w:gridCol w:w="142"/>
        <w:gridCol w:w="142"/>
        <w:gridCol w:w="142"/>
        <w:gridCol w:w="324"/>
        <w:gridCol w:w="796"/>
        <w:gridCol w:w="180"/>
        <w:gridCol w:w="142"/>
        <w:gridCol w:w="142"/>
        <w:gridCol w:w="142"/>
        <w:gridCol w:w="255"/>
        <w:gridCol w:w="979"/>
        <w:gridCol w:w="142"/>
        <w:gridCol w:w="142"/>
        <w:gridCol w:w="142"/>
        <w:gridCol w:w="142"/>
        <w:gridCol w:w="320"/>
        <w:gridCol w:w="787"/>
        <w:gridCol w:w="261"/>
      </w:tblGrid>
      <w:tr>
        <w:trPr/>
        <w:tc>
          <w:tcPr>
            <w:tcW w:w="135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2025</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54,214</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101,666</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w:t>
            </w:r>
            <w:r>
              <w:rPr>
                <w:color w:val="000000"/>
              </w:rPr>
              <w:t>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(1)</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consolidation related expenses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transaction costs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 receivable</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affiliate, net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Discrete tax impact of Spin related transactions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(2)</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106,416</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w:t>
            </w:r>
            <w:r>
              <w:rPr>
                <w:color w:val="000000"/>
              </w:rPr>
              <w:t>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115,825</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45,343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53,154</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(2)</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45,343</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52,643</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2025</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139,498</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186,729</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w:t>
            </w:r>
            <w:r>
              <w:rPr>
                <w:color w:val="000000"/>
              </w:rPr>
              <w:t>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(1)</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consolidation related expenses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transaction costs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 receivable</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affiliate, net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Discrete tax impact of Spin related transactions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(2)</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207,933</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4.49</w:t>
            </w:r>
            <w:r>
              <w:rPr>
                <w:color w:val="000000"/>
              </w:rPr>
              <w:t>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215,980</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w:t>
            </w:r>
            <w:r>
              <w:rPr>
                <w:color w:val="000000"/>
              </w:rPr>
              <w:t>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46,293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53,888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(2)</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46,293</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53,119</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amortization of deferred financing costs and convertible notes issuance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16"/>
              </w:rPr>
            </w:pPr>
            <w:r>
              <w:rPr>
                <w:rFonts w:ascii="Times New Roman;serif" w:hAnsi="Times New Roman;serif"/>
                <w:b w:val="false"/>
                <w:color w:val="000000"/>
                <w:sz w:val="16"/>
              </w:rPr>
              <w:t>(2) 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 Given the settlement of the convertible notes in the third quarter of 2025 the weighted average number of shares will no longer require an adjustment in 2026.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243"/>
        <w:gridCol w:w="1002"/>
        <w:gridCol w:w="1006"/>
        <w:gridCol w:w="287"/>
        <w:gridCol w:w="984"/>
        <w:gridCol w:w="148"/>
        <w:gridCol w:w="127"/>
        <w:gridCol w:w="127"/>
        <w:gridCol w:w="127"/>
        <w:gridCol w:w="287"/>
        <w:gridCol w:w="984"/>
        <w:gridCol w:w="148"/>
        <w:gridCol w:w="127"/>
        <w:gridCol w:w="127"/>
        <w:gridCol w:w="127"/>
        <w:gridCol w:w="267"/>
        <w:gridCol w:w="1049"/>
        <w:gridCol w:w="137"/>
        <w:gridCol w:w="127"/>
        <w:gridCol w:w="127"/>
        <w:gridCol w:w="127"/>
        <w:gridCol w:w="267"/>
        <w:gridCol w:w="1047"/>
        <w:gridCol w:w="206"/>
      </w:tblGrid>
      <w:tr>
        <w:trPr/>
        <w:tc>
          <w:tcPr>
            <w:tcW w:w="12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Flows Provided By (Used In):</w:t>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activities</w:t>
            </w:r>
            <w:r>
              <w:rPr>
                <w:rFonts w:ascii="Times New Roman;serif" w:hAnsi="Times New Roman;serif"/>
                <w:b w:val="false"/>
                <w:color w:val="000000"/>
                <w:sz w:val="13"/>
              </w:rPr>
              <w:t>(1)</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187,526 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activities</w:t>
            </w:r>
            <w:r>
              <w:rPr>
                <w:rFonts w:ascii="Times New Roman;serif" w:hAnsi="Times New Roman;serif"/>
                <w:b w:val="false"/>
                <w:color w:val="000000"/>
                <w:sz w:val="13"/>
              </w:rPr>
              <w:t>(2)</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544,878 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(346,368)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(787,468)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flow from operating activities</w:t>
            </w:r>
            <w:r>
              <w:rPr>
                <w:rFonts w:ascii="Times New Roman;serif" w:hAnsi="Times New Roman;serif"/>
                <w:b w:val="false"/>
                <w:color w:val="000000"/>
                <w:sz w:val="13"/>
              </w:rPr>
              <w:t>(1)</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187,526 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Capital expenditures</w:t>
            </w:r>
            <w:r>
              <w:rPr>
                <w:rFonts w:ascii="Times New Roman;serif" w:hAnsi="Times New Roman;serif"/>
                <w:b w:val="false"/>
                <w:color w:val="000000"/>
                <w:sz w:val="13"/>
              </w:rPr>
              <w:t>(3)</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89,019 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168,892 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187,983 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payments of strategic transaction costs of $7.5 million and $15.2 million for the three and six months ended July 4, 2026.</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16"/>
              </w:rPr>
            </w:pPr>
            <w:r>
              <w:rPr>
                <w:rFonts w:ascii="Times New Roman;serif" w:hAnsi="Times New Roman;serif"/>
                <w:b w:val="false"/>
                <w:color w:val="000000"/>
                <w:sz w:val="16"/>
              </w:rPr>
              <w:t>(2) Includes proceeds from sale of 51% interest in Residential Kitchen Equipment Group, net of cash transferred, of $564.6 million for the six months ended July 4, 2026.</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16"/>
              </w:rPr>
            </w:pPr>
            <w:r>
              <w:rPr>
                <w:rFonts w:ascii="Times New Roman;serif" w:hAnsi="Times New Roman;serif"/>
                <w:b w:val="false"/>
                <w:color w:val="000000"/>
                <w:sz w:val="16"/>
              </w:rPr>
              <w:t>(3) Includes purchase of previously leased food processing manufacturing facility for the six months ended June 28, 2025.</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pPr>
      <w:r>
        <w:rPr>
          <w:rFonts w:ascii="Times New Roman;serif" w:hAnsi="Times New Roman;serif"/>
          <w:b/>
          <w:color w:val="000000"/>
          <w:sz w:val="22"/>
          <w:u w:val="single"/>
        </w:rPr>
        <w:t>NON-GAAP INFORMATION</w:t>
      </w:r>
      <w:r>
        <w:rPr>
          <w:rFonts w:ascii="Times New Roman;serif" w:hAnsi="Times New Roman;serif"/>
          <w:b w:val="false"/>
          <w:color w:val="000000"/>
          <w:sz w:val="13"/>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251" w:type="dxa"/>
        <w:jc w:val="left"/>
        <w:tblInd w:w="0" w:type="dxa"/>
        <w:tblLayout w:type="fixed"/>
        <w:tblCellMar>
          <w:top w:w="28" w:type="dxa"/>
          <w:left w:w="28" w:type="dxa"/>
          <w:bottom w:w="28" w:type="dxa"/>
          <w:right w:w="28" w:type="dxa"/>
        </w:tblCellMar>
      </w:tblPr>
      <w:tblGrid>
        <w:gridCol w:w="2281"/>
        <w:gridCol w:w="2000"/>
        <w:gridCol w:w="2033"/>
        <w:gridCol w:w="218"/>
        <w:gridCol w:w="869"/>
        <w:gridCol w:w="112"/>
        <w:gridCol w:w="109"/>
        <w:gridCol w:w="109"/>
        <w:gridCol w:w="109"/>
        <w:gridCol w:w="585"/>
        <w:gridCol w:w="341"/>
        <w:gridCol w:w="485"/>
      </w:tblGrid>
      <w:tr>
        <w:trPr/>
        <w:tc>
          <w:tcPr>
            <w:tcW w:w="228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1st Qtr,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2026</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Food Processing</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(244,936)</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excluding Food Processing</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615,536 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630,613</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147,748</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Food Processing</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excluding Food Processing</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110,669</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120,898</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consolidation related expenses</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from continuing operations excluding Food Processing</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139,392</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144,765</w:t>
            </w:r>
          </w:p>
        </w:tc>
      </w:tr>
    </w:tbl>
    <w:tbl>
      <w:tblPr>
        <w:tblW w:w="10205" w:type="dxa"/>
        <w:jc w:val="left"/>
        <w:tblInd w:w="0" w:type="dxa"/>
        <w:tblLayout w:type="fixed"/>
        <w:tblCellMar>
          <w:top w:w="28" w:type="dxa"/>
          <w:left w:w="28" w:type="dxa"/>
          <w:bottom w:w="28" w:type="dxa"/>
          <w:right w:w="28" w:type="dxa"/>
        </w:tblCellMar>
      </w:tblPr>
      <w:tblGrid>
        <w:gridCol w:w="1128"/>
        <w:gridCol w:w="824"/>
        <w:gridCol w:w="837"/>
        <w:gridCol w:w="213"/>
        <w:gridCol w:w="849"/>
        <w:gridCol w:w="109"/>
        <w:gridCol w:w="109"/>
        <w:gridCol w:w="109"/>
        <w:gridCol w:w="109"/>
        <w:gridCol w:w="217"/>
        <w:gridCol w:w="866"/>
        <w:gridCol w:w="112"/>
        <w:gridCol w:w="109"/>
        <w:gridCol w:w="109"/>
        <w:gridCol w:w="109"/>
        <w:gridCol w:w="216"/>
        <w:gridCol w:w="862"/>
        <w:gridCol w:w="111"/>
        <w:gridCol w:w="109"/>
        <w:gridCol w:w="109"/>
        <w:gridCol w:w="109"/>
        <w:gridCol w:w="214"/>
        <w:gridCol w:w="856"/>
        <w:gridCol w:w="110"/>
        <w:gridCol w:w="109"/>
        <w:gridCol w:w="109"/>
        <w:gridCol w:w="109"/>
        <w:gridCol w:w="214"/>
        <w:gridCol w:w="994"/>
        <w:gridCol w:w="165"/>
      </w:tblGrid>
      <w:tr>
        <w:trPr/>
        <w:tc>
          <w:tcPr>
            <w:tcW w:w="11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1st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2nd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3rd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4th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807,355 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866,425 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3,201,202 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Food Processing</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(850,155)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excluding Food Processing</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580,604 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606,002 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601,724 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2,351,047 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147,718 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574,891 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Food Processing</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(119,357)</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excluding Food Processing</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107,974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115,034</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123,630</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455,534</w:t>
            </w: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adjustments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from continuing operations excluding Food Processing</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129,624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139,164</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142,070</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140,465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551,323</w:t>
            </w:r>
            <w:r>
              <w:rPr>
                <w:color w:val="000000"/>
              </w:rPr>
              <w:t>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These amounts represent Middleby excluding Food Processing and Residential which are to be considered preliminary and could change as the company finalizes discontinued operations.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pPr>
      <w:r>
        <w:rPr>
          <w:rFonts w:ascii="Times New Roman;serif" w:hAnsi="Times New Roman;serif"/>
          <w:b/>
          <w:color w:val="000000"/>
          <w:sz w:val="22"/>
          <w:u w:val="single"/>
        </w:rPr>
        <w:t>NON-GAAP INFORMATION</w:t>
      </w:r>
      <w:r>
        <w:rPr>
          <w:rFonts w:ascii="Times New Roman;serif" w:hAnsi="Times New Roman;serif"/>
          <w:b w:val="false"/>
          <w:color w:val="000000"/>
          <w:sz w:val="13"/>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 Share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74"/>
        <w:gridCol w:w="1390"/>
        <w:gridCol w:w="1400"/>
        <w:gridCol w:w="210"/>
        <w:gridCol w:w="710"/>
        <w:gridCol w:w="117"/>
        <w:gridCol w:w="117"/>
        <w:gridCol w:w="117"/>
        <w:gridCol w:w="117"/>
        <w:gridCol w:w="318"/>
        <w:gridCol w:w="783"/>
        <w:gridCol w:w="176"/>
        <w:gridCol w:w="117"/>
        <w:gridCol w:w="117"/>
        <w:gridCol w:w="117"/>
        <w:gridCol w:w="210"/>
        <w:gridCol w:w="710"/>
        <w:gridCol w:w="117"/>
        <w:gridCol w:w="117"/>
        <w:gridCol w:w="117"/>
        <w:gridCol w:w="117"/>
        <w:gridCol w:w="312"/>
        <w:gridCol w:w="769"/>
        <w:gridCol w:w="256"/>
      </w:tblGrid>
      <w:tr>
        <w:trPr/>
        <w:tc>
          <w:tcPr>
            <w:tcW w:w="167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1st Qtr, 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2026</w:t>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from continuing operations</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Food Processing</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 excluding Food Processing</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66,498</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45,972</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(2)</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consolidation related expenses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 receivable</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affiliate, net</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 excluding Food Processing</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73,017</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78,966</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47,243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45,343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9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47,243</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45,343</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These amounts represent Middleby excluding Food Processing and Residential which are to be considered preliminary and could change as the company finalizes discontinued operations.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amortization of deferred financing costs and convertible notes issuance costs.</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pPr>
      <w:r>
        <w:rPr>
          <w:rFonts w:ascii="Times New Roman;serif" w:hAnsi="Times New Roman;serif"/>
          <w:b/>
          <w:color w:val="000000"/>
          <w:sz w:val="22"/>
          <w:u w:val="single"/>
        </w:rPr>
        <w:t>NON-GAAP INFORMATION</w:t>
      </w:r>
      <w:r>
        <w:rPr>
          <w:rFonts w:ascii="Times New Roman;serif" w:hAnsi="Times New Roman;serif"/>
          <w:b w:val="false"/>
          <w:color w:val="000000"/>
          <w:sz w:val="13"/>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 Share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25"/>
        <w:gridCol w:w="1461"/>
        <w:gridCol w:w="1472"/>
        <w:gridCol w:w="196"/>
        <w:gridCol w:w="661"/>
        <w:gridCol w:w="109"/>
        <w:gridCol w:w="109"/>
        <w:gridCol w:w="109"/>
        <w:gridCol w:w="109"/>
        <w:gridCol w:w="313"/>
        <w:gridCol w:w="769"/>
        <w:gridCol w:w="173"/>
        <w:gridCol w:w="109"/>
        <w:gridCol w:w="109"/>
        <w:gridCol w:w="109"/>
        <w:gridCol w:w="196"/>
        <w:gridCol w:w="736"/>
        <w:gridCol w:w="109"/>
        <w:gridCol w:w="109"/>
        <w:gridCol w:w="109"/>
        <w:gridCol w:w="109"/>
        <w:gridCol w:w="306"/>
        <w:gridCol w:w="753"/>
        <w:gridCol w:w="245"/>
      </w:tblGrid>
      <w:tr>
        <w:trPr/>
        <w:tc>
          <w:tcPr>
            <w:tcW w:w="172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1st Qtr,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2nd Qtr, 2025</w:t>
            </w:r>
          </w:p>
        </w:tc>
      </w:tr>
      <w:tr>
        <w:trPr/>
        <w:tc>
          <w:tcPr>
            <w:tcW w:w="4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from continuing operations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Food Processing</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 excluding Food Processing</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69,075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64,619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w:t>
            </w:r>
            <w:r>
              <w:rPr>
                <w:color w:val="000000"/>
              </w:rPr>
              <w:t> </w:t>
            </w:r>
          </w:p>
        </w:tc>
        <w:tc>
          <w:tcPr>
            <w:tcW w:w="2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(2)</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(3)</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 excluding Food Processing</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78,706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w:t>
            </w:r>
            <w:r>
              <w:rPr>
                <w:color w:val="000000"/>
              </w:rPr>
              <w:t>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73,909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w:t>
            </w:r>
            <w:r>
              <w:rPr>
                <w:color w:val="000000"/>
              </w:rPr>
              <w:t> </w:t>
            </w:r>
          </w:p>
        </w:tc>
        <w:tc>
          <w:tcPr>
            <w:tcW w:w="2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(3)</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53,593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52,643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9"/>
        <w:gridCol w:w="1128"/>
        <w:gridCol w:w="1136"/>
        <w:gridCol w:w="253"/>
        <w:gridCol w:w="855"/>
        <w:gridCol w:w="140"/>
        <w:gridCol w:w="140"/>
        <w:gridCol w:w="140"/>
        <w:gridCol w:w="140"/>
        <w:gridCol w:w="329"/>
        <w:gridCol w:w="809"/>
        <w:gridCol w:w="182"/>
        <w:gridCol w:w="140"/>
        <w:gridCol w:w="140"/>
        <w:gridCol w:w="140"/>
        <w:gridCol w:w="253"/>
        <w:gridCol w:w="855"/>
        <w:gridCol w:w="140"/>
        <w:gridCol w:w="140"/>
        <w:gridCol w:w="140"/>
        <w:gridCol w:w="140"/>
        <w:gridCol w:w="325"/>
        <w:gridCol w:w="799"/>
        <w:gridCol w:w="272"/>
      </w:tblGrid>
      <w:tr>
        <w:trPr/>
        <w:tc>
          <w:tcPr>
            <w:tcW w:w="14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3rd Qtr, 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4th Qtr, 2025</w:t>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from continuing operations</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94,452 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86,086 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Food Processing</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 excluding Food Processing</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77,917</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w:t>
            </w:r>
            <w:r>
              <w:rPr>
                <w:color w:val="000000"/>
              </w:rPr>
              <w:t>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62,214</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w:t>
            </w:r>
            <w:r>
              <w:rPr>
                <w:color w:val="000000"/>
              </w:rPr>
              <w:t>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(2)</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 excluding Food Processing</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86,996</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w:t>
            </w:r>
            <w:r>
              <w:rPr>
                <w:color w:val="000000"/>
              </w:rPr>
              <w:t>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75,864</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50,521</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50,032</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(3)</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50,574</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50,032</w:t>
            </w:r>
            <w:r>
              <w:rPr>
                <w:color w:val="000000"/>
              </w:rPr>
              <w:t>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These amounts represent Middleby excluding Food Processing and Residential which are to be considered preliminary and could change as the company finalizes discontinued operations.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amortization of deferred financing costs and convertible notes issuance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16"/>
              </w:rPr>
            </w:pPr>
            <w:r>
              <w:rPr>
                <w:rFonts w:ascii="Times New Roman;serif" w:hAnsi="Times New Roman;serif"/>
                <w:b w:val="false"/>
                <w:color w:val="000000"/>
                <w:sz w:val="16"/>
              </w:rPr>
              <w:t>(3) 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MIDDLEBY CORPORATION</w:t>
      </w:r>
    </w:p>
    <w:p>
      <w:pPr>
        <w:pStyle w:val="TextBody"/>
        <w:bidi w:val="0"/>
        <w:spacing w:lineRule="auto" w:line="288" w:before="0" w:after="0"/>
        <w:jc w:val="center"/>
        <w:rPr/>
      </w:pPr>
      <w:r>
        <w:rPr>
          <w:rFonts w:ascii="Times New Roman;serif" w:hAnsi="Times New Roman;serif"/>
          <w:b/>
          <w:color w:val="000000"/>
          <w:sz w:val="22"/>
          <w:u w:val="single"/>
        </w:rPr>
        <w:t>NON-GAAP INFORMATION</w:t>
      </w:r>
      <w:r>
        <w:rPr>
          <w:rFonts w:ascii="Times New Roman;serif" w:hAnsi="Times New Roman;serif"/>
          <w:b w:val="false"/>
          <w:color w:val="000000"/>
          <w:sz w:val="13"/>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000’s, Except Per Share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297"/>
        <w:gridCol w:w="1869"/>
        <w:gridCol w:w="1882"/>
        <w:gridCol w:w="317"/>
        <w:gridCol w:w="1218"/>
        <w:gridCol w:w="176"/>
        <w:gridCol w:w="176"/>
        <w:gridCol w:w="176"/>
        <w:gridCol w:w="176"/>
        <w:gridCol w:w="450"/>
        <w:gridCol w:w="1107"/>
        <w:gridCol w:w="361"/>
      </w:tblGrid>
      <w:tr>
        <w:trPr/>
        <w:tc>
          <w:tcPr>
            <w:tcW w:w="229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2025</w:t>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per share</w:t>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from continuing operations</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367,267 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Food Processing</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from continuing operations excluding Food Processing</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273,826</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w:t>
            </w: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(2)</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adjustments</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pre-tax adjustments</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(3)</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earnings from continuing operations excluding Food Processing</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315,475</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w:t>
            </w: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number of shares</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52,179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for shares excluded due to anti-dilution effect on GAAP net earnings</w:t>
            </w:r>
            <w:r>
              <w:rPr>
                <w:rFonts w:ascii="Times New Roman;serif" w:hAnsi="Times New Roman;serif"/>
                <w:b w:val="false"/>
                <w:color w:val="000000"/>
                <w:sz w:val="12"/>
              </w:rPr>
              <w:t>(3)</w:t>
            </w:r>
          </w:p>
        </w:tc>
        <w:tc>
          <w:tcPr>
            <w:tcW w:w="15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weighted average number of shares</w:t>
            </w:r>
          </w:p>
        </w:tc>
        <w:tc>
          <w:tcPr>
            <w:tcW w:w="15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51,711</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These amounts represent Middleby excluding Food Processing and Residential which are to be considered preliminary and could change as the company finalizes discontinued operations.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amortization of deferred financing costs and convertible notes issuance costs.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80" w:after="40"/>
              <w:jc w:val="left"/>
              <w:rPr>
                <w:rFonts w:ascii="Times New Roman;serif" w:hAnsi="Times New Roman;serif"/>
                <w:b w:val="false"/>
                <w:color w:val="000000"/>
                <w:sz w:val="16"/>
              </w:rPr>
            </w:pPr>
            <w:r>
              <w:rPr>
                <w:rFonts w:ascii="Times New Roman;serif" w:hAnsi="Times New Roman;serif"/>
                <w:b w:val="false"/>
                <w:color w:val="000000"/>
                <w:sz w:val="16"/>
              </w:rPr>
              <w:t>(3) 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supplements its consolidated financial statements presented on a GAAP basis with this non-GAAP financial information to provide investors with greater insight, increase transparency and allow for a more comprehensive understanding of the information used by management in its financial and operational decision-making.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 In addition, the non-GAAP financial measures included in this press release do not have standard meanings and may vary from similarly titled non-GAAP financial measures used by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organic net sales growth, adjusted EBITDA, organic adjusted EBITDA, segment adjusted EBITDA, net debt, net leverage, adjusted net earnings and adjusted diluted per share measures are useful as supplements to its GAAP results of operations to evaluate certain aspects of its operations and financial performance, and its management team primarily focuses on non-GAAP items in evaluating performance for business planning purposes. The company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impairment charges, restructuring expenses, and other charges which management considers to be outside core operating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free cash flow is an important measure of operating performance because it provides management and investors with a measure of cash generated from operations that is available for mandatory payment obligations and investment opportunities, such as funding acquisitions, repaying debt and repurchasing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its presentation of these non-GAAP financial measures is useful because it provides investors and securities analysts with the same information that Middleby uses internally for purposes of assessing its core operating performance.</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5097</Words>
  <Characters>29415</Characters>
  <CharactersWithSpaces>33684</CharactersWithSpaces>
  <Paragraphs>1491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