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130175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May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127635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THE MIDDLEBY CORPORATION</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p>
      <w:pPr>
        <w:spacing w:after="0" w:line="308"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2"/>
          <w:szCs w:val="12"/>
          <w:b w:val="1"/>
          <w:bCs w:val="1"/>
          <w:color w:val="auto"/>
        </w:rPr>
        <w:t>1-9973</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36-3352497</w:t>
      </w:r>
    </w:p>
    <w:p>
      <w:pPr>
        <w:spacing w:after="0" w:line="13" w:lineRule="exact"/>
        <w:rPr>
          <w:sz w:val="24"/>
          <w:szCs w:val="24"/>
          <w:color w:val="auto"/>
        </w:rPr>
      </w:pPr>
    </w:p>
    <w:p>
      <w:pPr>
        <w:sectPr>
          <w:pgSz w:w="11900" w:h="16838" w:orient="portrait"/>
          <w:cols w:equalWidth="0" w:num="3">
            <w:col w:w="3680" w:space="720"/>
            <w:col w:w="1700" w:space="720"/>
            <w:col w:w="2199"/>
          </w:cols>
          <w:pgMar w:left="1440" w:top="352" w:right="1440" w:bottom="1440" w:gutter="0" w:footer="0" w:header="0"/>
          <w:type w:val="continuous"/>
        </w:sectPr>
      </w:pPr>
    </w:p>
    <w:p>
      <w:pPr>
        <w:spacing w:after="0" w:line="1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9"/>
          <w:szCs w:val="9"/>
          <w:b w:val="1"/>
          <w:bCs w:val="1"/>
          <w:color w:val="auto"/>
        </w:rPr>
        <w:t>(State or Other Jurisdiction</w:t>
      </w: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jc w:val="center"/>
        <w:ind w:right="1499"/>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499"/>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94" w:lineRule="exact"/>
        <w:rPr>
          <w:sz w:val="24"/>
          <w:szCs w:val="24"/>
          <w:color w:val="auto"/>
        </w:rPr>
      </w:pPr>
    </w:p>
    <w:p>
      <w:pPr>
        <w:sectPr>
          <w:pgSz w:w="11900" w:h="16838" w:orient="portrait"/>
          <w:cols w:equalWidth="0" w:num="3">
            <w:col w:w="3580" w:space="720"/>
            <w:col w:w="1720" w:space="720"/>
            <w:col w:w="2279"/>
          </w:cols>
          <w:pgMar w:left="1440" w:top="352" w:right="1440" w:bottom="1440" w:gutter="0" w:footer="0" w:header="0"/>
          <w:type w:val="continuous"/>
        </w:sectPr>
      </w:pPr>
    </w:p>
    <w:p>
      <w:pPr>
        <w:ind w:left="1560"/>
        <w:spacing w:after="0"/>
        <w:rPr>
          <w:sz w:val="20"/>
          <w:szCs w:val="20"/>
          <w:color w:val="auto"/>
        </w:rPr>
      </w:pPr>
      <w:r>
        <w:rPr>
          <w:rFonts w:ascii="Times New Roman" w:cs="Times New Roman" w:eastAsia="Times New Roman" w:hAnsi="Times New Roman"/>
          <w:sz w:val="12"/>
          <w:szCs w:val="12"/>
          <w:b w:val="1"/>
          <w:bCs w:val="1"/>
          <w:color w:val="auto"/>
        </w:rPr>
        <w:t>1400 Toastmaster Drive, Elgin, Illinois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60120</w:t>
      </w:r>
    </w:p>
    <w:p>
      <w:pPr>
        <w:spacing w:after="0" w:line="29" w:lineRule="exact"/>
        <w:rPr>
          <w:sz w:val="24"/>
          <w:szCs w:val="24"/>
          <w:color w:val="auto"/>
        </w:rPr>
      </w:pPr>
    </w:p>
    <w:p>
      <w:pPr>
        <w:sectPr>
          <w:pgSz w:w="11900" w:h="16838" w:orient="portrait"/>
          <w:cols w:equalWidth="0" w:num="2">
            <w:col w:w="5620" w:space="720"/>
            <w:col w:w="2679"/>
          </w:cols>
          <w:pgMar w:left="1440" w:top="352" w:right="1440"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9"/>
          <w:szCs w:val="9"/>
          <w:b w:val="1"/>
          <w:bCs w:val="1"/>
          <w:color w:val="auto"/>
        </w:rPr>
        <w:t>(Zip Code)</w:t>
      </w:r>
    </w:p>
    <w:p>
      <w:pPr>
        <w:spacing w:after="0" w:line="80" w:lineRule="exact"/>
        <w:rPr>
          <w:sz w:val="24"/>
          <w:szCs w:val="24"/>
          <w:color w:val="auto"/>
        </w:rPr>
      </w:pPr>
    </w:p>
    <w:p>
      <w:pPr>
        <w:sectPr>
          <w:pgSz w:w="11900" w:h="16838" w:orient="portrait"/>
          <w:cols w:equalWidth="0" w:num="2">
            <w:col w:w="5540" w:space="720"/>
            <w:col w:w="2759"/>
          </w:cols>
          <w:pgMar w:left="1440" w:top="352"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(847) 741-3300</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110490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5"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640" w:right="2439" w:hanging="3"/>
        <w:spacing w:after="0" w:line="407" w:lineRule="auto"/>
        <w:tabs>
          <w:tab w:leader="none" w:pos="943"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tbl>
      <w:tblPr>
        <w:tblLayout w:type="fixed"/>
        <w:tblInd w:w="640" w:type="dxa"/>
        <w:tblCellMar>
          <w:top w:w="0" w:type="dxa"/>
          <w:left w:w="0" w:type="dxa"/>
          <w:bottom w:w="0" w:type="dxa"/>
          <w:right w:w="0" w:type="dxa"/>
        </w:tblCellMar>
      </w:tblPr>
      <w:tr>
        <w:trPr>
          <w:trHeight w:val="105"/>
        </w:trPr>
        <w:tc>
          <w:tcPr>
            <w:tcW w:w="2700" w:type="dxa"/>
            <w:vAlign w:val="bottom"/>
            <w:gridSpan w:val="2"/>
            <w:vMerge w:val="restart"/>
          </w:tcPr>
          <w:p>
            <w:pPr>
              <w:ind w:left="900"/>
              <w:spacing w:after="0"/>
              <w:rPr>
                <w:sz w:val="20"/>
                <w:szCs w:val="20"/>
                <w:color w:val="auto"/>
              </w:rPr>
            </w:pPr>
            <w:r>
              <w:rPr>
                <w:rFonts w:ascii="Times New Roman" w:cs="Times New Roman" w:eastAsia="Times New Roman" w:hAnsi="Times New Roman"/>
                <w:sz w:val="10"/>
                <w:szCs w:val="10"/>
                <w:b w:val="1"/>
                <w:bCs w:val="1"/>
                <w:color w:val="auto"/>
              </w:rPr>
              <w:t>Title of Each Class</w:t>
            </w:r>
          </w:p>
        </w:tc>
        <w:tc>
          <w:tcPr>
            <w:tcW w:w="2560" w:type="dxa"/>
            <w:vAlign w:val="bottom"/>
            <w:gridSpan w:val="2"/>
          </w:tcPr>
          <w:p>
            <w:pPr>
              <w:jc w:val="center"/>
              <w:ind w:right="60"/>
              <w:spacing w:after="0" w:line="105" w:lineRule="exact"/>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 on Which Registered</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3"/>
                <w:szCs w:val="13"/>
                <w:color w:val="auto"/>
              </w:rPr>
              <w:t>Common Stock</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MIDD</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Global Select Market</w:t>
            </w: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6" w:lineRule="exact"/>
        <w:rPr>
          <w:sz w:val="24"/>
          <w:szCs w:val="24"/>
          <w:color w:val="auto"/>
        </w:rPr>
      </w:pPr>
    </w:p>
    <w:p>
      <w:pPr>
        <w:ind w:left="682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47"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right="739"/>
        <w:spacing w:after="0" w:line="247" w:lineRule="auto"/>
        <w:rPr>
          <w:sz w:val="20"/>
          <w:szCs w:val="20"/>
          <w:color w:val="auto"/>
        </w:rPr>
      </w:pPr>
      <w:r>
        <w:rPr>
          <w:rFonts w:ascii="Times New Roman" w:cs="Times New Roman" w:eastAsia="Times New Roman" w:hAnsi="Times New Roman"/>
          <w:sz w:val="13"/>
          <w:szCs w:val="13"/>
          <w:color w:val="auto"/>
        </w:rPr>
        <w:t>A copy of the presentation slides to be used by The Middleby Corporation (the “Company”) at its Investor Day presentation on May 12, 2026, is furnished as Exhibit 99.1 to this Current Report on Form 8-K and is incorporated herein by reference. A copy of the presentation slides to be used by Midera Food Processing, Inc. (the current subsidiary of the Company which will own and operate the Company’s food processing business (the “Food Processing Business”) following the Company’s previously announced transaction to separate the Food Processing Business into a standalone public company) at its Investor Day presentation on May 12, 2026, is furnished as Exhibit 99.2 to this Current Report on Form 8-K and is incorporated herein by reference. A copy of the press release issued by the Company regarding, among other things, its Investor Day is furnished as Exhibit 99.3 to this Current Report on Form 8-K and is incorporated herein by reference.</w:t>
      </w:r>
    </w:p>
    <w:p>
      <w:pPr>
        <w:spacing w:after="0" w:line="136" w:lineRule="exact"/>
        <w:rPr>
          <w:sz w:val="20"/>
          <w:szCs w:val="20"/>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The information set forth in this Item 7.01, including Exhibit 99.1, Exhibit 99.2 and Exhibit 99.3, is deemed to be “furnished” and shall not be deemed to be “filed” for purposes of Section 18 of the Securities Exchange Act of 1934, as amended (the “Exchange Act”), or otherwise subject to the liabilities of that Section. The information set forth in this Item 7.01, including Exhibit 99.1, Exhibit 99.2 and Exhibit 99.3, shall not be deemed incorporated by reference into any filing under the Exchange Act or the Securities Act of 1933, as amended, regardless of any general incorporation language in such filing, except as shall be expressly set forth by specific reference in such filing.</w:t>
      </w:r>
    </w:p>
    <w:p>
      <w:pPr>
        <w:spacing w:after="0" w:line="237"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Statements and Exhibits.</w:t>
      </w:r>
    </w:p>
    <w:p>
      <w:pPr>
        <w:spacing w:after="0" w:line="8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3"/>
          <w:szCs w:val="13"/>
          <w:color w:val="auto"/>
        </w:rPr>
        <w:t>(d) Exhibits</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b w:val="1"/>
          <w:bCs w:val="1"/>
          <w:color w:val="auto"/>
        </w:rPr>
        <w:t>Exhibit</w:t>
      </w:r>
    </w:p>
    <w:p>
      <w:pPr>
        <w:spacing w:after="0" w:line="1" w:lineRule="exact"/>
        <w:rPr>
          <w:sz w:val="20"/>
          <w:szCs w:val="20"/>
          <w:color w:val="auto"/>
        </w:rPr>
      </w:pPr>
    </w:p>
    <w:p>
      <w:pPr>
        <w:ind w:left="720"/>
        <w:spacing w:after="0"/>
        <w:tabs>
          <w:tab w:leader="none" w:pos="1240" w:val="left"/>
        </w:tabs>
        <w:rPr>
          <w:sz w:val="20"/>
          <w:szCs w:val="20"/>
          <w:color w:val="auto"/>
        </w:rPr>
      </w:pPr>
      <w:r>
        <w:rPr>
          <w:rFonts w:ascii="Times New Roman" w:cs="Times New Roman" w:eastAsia="Times New Roman" w:hAnsi="Times New Roman"/>
          <w:sz w:val="10"/>
          <w:szCs w:val="10"/>
          <w:b w:val="1"/>
          <w:bCs w:val="1"/>
          <w:color w:val="auto"/>
        </w:rPr>
        <w:t>No.</w:t>
      </w:r>
      <w:r>
        <w:rPr>
          <w:sz w:val="20"/>
          <w:szCs w:val="20"/>
          <w:color w:val="auto"/>
        </w:rPr>
        <w:tab/>
      </w:r>
      <w:r>
        <w:rPr>
          <w:rFonts w:ascii="Times New Roman" w:cs="Times New Roman" w:eastAsia="Times New Roman" w:hAnsi="Times New Roman"/>
          <w:sz w:val="10"/>
          <w:szCs w:val="10"/>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-3175</wp:posOffset>
            </wp:positionV>
            <wp:extent cx="20447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4470" cy="5715"/>
                    </a:xfrm>
                    <a:prstGeom prst="rect">
                      <a:avLst/>
                    </a:prstGeom>
                    <a:noFill/>
                  </pic:spPr>
                </pic:pic>
              </a:graphicData>
            </a:graphic>
          </wp:anchor>
        </w:drawing>
      </w:r>
    </w:p>
    <w:p>
      <w:pPr>
        <w:spacing w:after="0" w:line="46"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2"/>
          <w:szCs w:val="12"/>
          <w:u w:val="single" w:color="auto"/>
          <w:color w:val="0000EE"/>
        </w:rPr>
        <w:t>Presentation, dated May 12, 2026, issued by The Middleby Corporation.</w:t>
      </w:r>
    </w:p>
    <w:p>
      <w:pPr>
        <w:spacing w:after="0" w:line="7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99.2</w:t>
      </w:r>
      <w:r>
        <w:rPr>
          <w:sz w:val="20"/>
          <w:szCs w:val="20"/>
          <w:color w:val="auto"/>
        </w:rPr>
        <w:tab/>
      </w:r>
      <w:r>
        <w:rPr>
          <w:rFonts w:ascii="Times New Roman" w:cs="Times New Roman" w:eastAsia="Times New Roman" w:hAnsi="Times New Roman"/>
          <w:sz w:val="12"/>
          <w:szCs w:val="12"/>
          <w:u w:val="single" w:color="auto"/>
          <w:color w:val="0000EE"/>
        </w:rPr>
        <w:t>Presentation, dated May 12, 2026, issued by Midera Food Processing, Inc.</w:t>
      </w:r>
    </w:p>
    <w:p>
      <w:pPr>
        <w:spacing w:after="0" w:line="7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99.3</w:t>
      </w:r>
      <w:r>
        <w:rPr>
          <w:sz w:val="20"/>
          <w:szCs w:val="20"/>
          <w:color w:val="auto"/>
        </w:rPr>
        <w:tab/>
      </w:r>
      <w:r>
        <w:rPr>
          <w:rFonts w:ascii="Times New Roman" w:cs="Times New Roman" w:eastAsia="Times New Roman" w:hAnsi="Times New Roman"/>
          <w:sz w:val="12"/>
          <w:szCs w:val="12"/>
          <w:u w:val="single" w:color="auto"/>
          <w:color w:val="0000EE"/>
        </w:rPr>
        <w:t>Press Release, dated May 12, 2026, issued by The Middleby Corporation.</w:t>
      </w:r>
    </w:p>
    <w:p>
      <w:pPr>
        <w:spacing w:after="0" w:line="7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color w:val="auto"/>
        </w:rPr>
        <w:t>Cover Page Interactive Data File (the cover page XBRL tags are embedded within the Inline XBRL document).</w:t>
      </w:r>
    </w:p>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85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29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color w:val="auto"/>
        </w:rPr>
        <w:t>THE MIDDLEBY CORPORATION</w:t>
      </w:r>
    </w:p>
    <w:p>
      <w:pPr>
        <w:spacing w:after="0" w:line="154"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May 12, 2026</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Brittany C. Cerwin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Brittany C. Cerwin</w:t>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Chief Financial Officer</w:t>
      </w:r>
    </w:p>
    <w:p>
      <w:pPr>
        <w:sectPr>
          <w:pgSz w:w="11900" w:h="16838" w:orient="portrait"/>
          <w:cols w:equalWidth="0" w:num="1">
            <w:col w:w="9019"/>
          </w:cols>
          <w:pgMar w:left="1440" w:top="248"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455930</wp:posOffset>
            </wp:positionV>
            <wp:extent cx="491045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119380</wp:posOffset>
            </wp:positionV>
            <wp:extent cx="1462405" cy="2946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62405" cy="294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Middleby To Present Growth Strategy at 2026 Investor Day Ahead of Transformative Business Separation</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Company Unveils Three-Year Financial Outlook</w:t>
      </w:r>
    </w:p>
    <w:p>
      <w:pPr>
        <w:spacing w:after="0" w:line="156" w:lineRule="exact"/>
        <w:rPr>
          <w:sz w:val="20"/>
          <w:szCs w:val="20"/>
          <w:color w:val="auto"/>
        </w:rPr>
      </w:pPr>
    </w:p>
    <w:p>
      <w:pPr>
        <w:ind w:left="640" w:right="819"/>
        <w:spacing w:after="0" w:line="264" w:lineRule="auto"/>
        <w:rPr>
          <w:sz w:val="20"/>
          <w:szCs w:val="20"/>
          <w:color w:val="auto"/>
        </w:rPr>
      </w:pPr>
      <w:r>
        <w:rPr>
          <w:rFonts w:ascii="Times New Roman" w:cs="Times New Roman" w:eastAsia="Times New Roman" w:hAnsi="Times New Roman"/>
          <w:sz w:val="13"/>
          <w:szCs w:val="13"/>
          <w:color w:val="auto"/>
        </w:rPr>
        <w:t>ELGIN, Ill. — May 12, 2026 — The Middleby Corporation (NASDAQ: MIDD), a leading worldwide manufacturer of equipment for the commercial foodservice and food processing industries, today unveils its strategic roadmap as two independent, publicly traded companies at an Investor Day in New York City, positioning current Middleby shareholders to benefit from focused growth strategies and enhanced value creation following the expected July 6, 2026 spin-off</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w:t>
      </w:r>
    </w:p>
    <w:p>
      <w:pPr>
        <w:spacing w:after="0" w:line="37" w:lineRule="exact"/>
        <w:rPr>
          <w:sz w:val="20"/>
          <w:szCs w:val="20"/>
          <w:color w:val="auto"/>
        </w:rPr>
      </w:pPr>
    </w:p>
    <w:p>
      <w:pPr>
        <w:ind w:left="640" w:right="679"/>
        <w:spacing w:after="0" w:line="286" w:lineRule="auto"/>
        <w:rPr>
          <w:sz w:val="20"/>
          <w:szCs w:val="20"/>
          <w:color w:val="auto"/>
        </w:rPr>
      </w:pPr>
      <w:r>
        <w:rPr>
          <w:rFonts w:ascii="Times New Roman" w:cs="Times New Roman" w:eastAsia="Times New Roman" w:hAnsi="Times New Roman"/>
          <w:sz w:val="12"/>
          <w:szCs w:val="12"/>
          <w:color w:val="auto"/>
        </w:rPr>
        <w:t>Following the spin-off of Midera, Middleby will be comprised of the Commercial Foodservice segment and a 49% ownership stake in Composition Brands (formerly known as Middleby Residential Kitchen) while Midera will be comprised of the Food Processing segment. Each company will benefit from segment specific management teams, tailored capital allocation strategies, and even greater agility to pursue market specific opportunities.</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3-Year Financial Outlook (2025-2028E)</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During the event today, the Company will introduce 3-year growth algorithms through 2028 for both future standalone companies.</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Middleby, representing Commercial Foodservice, will present a strategic roadmap that expects to achieve the following:</w:t>
      </w:r>
    </w:p>
    <w:p>
      <w:pPr>
        <w:spacing w:after="0" w:line="167" w:lineRule="exact"/>
        <w:rPr>
          <w:sz w:val="20"/>
          <w:szCs w:val="20"/>
          <w:color w:val="auto"/>
        </w:rPr>
      </w:pPr>
    </w:p>
    <w:tbl>
      <w:tblPr>
        <w:tblLayout w:type="fixed"/>
        <w:tblInd w:w="1880" w:type="dxa"/>
        <w:tblCellMar>
          <w:top w:w="0" w:type="dxa"/>
          <w:left w:w="0" w:type="dxa"/>
          <w:bottom w:w="0" w:type="dxa"/>
          <w:right w:w="0" w:type="dxa"/>
        </w:tblCellMar>
      </w:tblPr>
      <w:tr>
        <w:trPr>
          <w:trHeight w:val="143"/>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i w:val="1"/>
                <w:iCs w:val="1"/>
                <w:color w:val="auto"/>
                <w:w w:val="97"/>
              </w:rPr>
              <w:t>$ millions</w:t>
            </w:r>
          </w:p>
        </w:tc>
        <w:tc>
          <w:tcPr>
            <w:tcW w:w="328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3 Year Target Growth (2025-2028E)</w:t>
            </w:r>
          </w:p>
        </w:tc>
      </w:tr>
      <w:tr>
        <w:trPr>
          <w:trHeight w:val="131"/>
        </w:trPr>
        <w:tc>
          <w:tcPr>
            <w:tcW w:w="3700" w:type="dxa"/>
            <w:vAlign w:val="bottom"/>
            <w:tcBorders>
              <w:top w:val="single" w:sz="8" w:color="CCEEFF"/>
            </w:tcBorders>
            <w:gridSpan w:val="2"/>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Organic Net Sales</w:t>
            </w:r>
          </w:p>
        </w:tc>
        <w:tc>
          <w:tcPr>
            <w:tcW w:w="1540" w:type="dxa"/>
            <w:vAlign w:val="bottom"/>
            <w:tcBorders>
              <w:top w:val="single" w:sz="8" w:color="auto"/>
            </w:tcBorders>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color w:val="auto"/>
                <w:w w:val="97"/>
              </w:rPr>
              <w:t>3-6% CAGR</w:t>
            </w:r>
          </w:p>
        </w:tc>
      </w:tr>
      <w:tr>
        <w:trPr>
          <w:trHeight w:val="152"/>
        </w:trPr>
        <w:tc>
          <w:tcPr>
            <w:tcW w:w="3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Adj. EBITDA</w:t>
            </w: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6-9% CAGR</w:t>
            </w:r>
          </w:p>
        </w:tc>
      </w:tr>
      <w:tr>
        <w:trPr>
          <w:trHeight w:val="152"/>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Adj. EBITDA Margin</w:t>
            </w:r>
          </w:p>
        </w:tc>
        <w:tc>
          <w:tcPr>
            <w:tcW w:w="154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2"/>
                <w:szCs w:val="12"/>
                <w:color w:val="auto"/>
              </w:rPr>
              <w:t xml:space="preserve">200-400bps </w:t>
            </w:r>
            <w:r>
              <w:rPr>
                <w:rFonts w:ascii="Times New Roman" w:cs="Times New Roman" w:eastAsia="Times New Roman" w:hAnsi="Times New Roman"/>
                <w:sz w:val="17"/>
                <w:szCs w:val="17"/>
                <w:color w:val="auto"/>
                <w:vertAlign w:val="superscript"/>
              </w:rPr>
              <w:t>2</w:t>
            </w:r>
          </w:p>
        </w:tc>
      </w:tr>
      <w:tr>
        <w:trPr>
          <w:trHeight w:val="165"/>
        </w:trPr>
        <w:tc>
          <w:tcPr>
            <w:tcW w:w="3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Adj. EPS</w:t>
            </w: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10-15% CAGR</w:t>
            </w:r>
          </w:p>
        </w:tc>
      </w:tr>
    </w:tbl>
    <w:p>
      <w:pPr>
        <w:spacing w:after="0" w:line="1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Midera, representing Food Processing, will present its strategic roadmap that expects to achieve the following:</w:t>
      </w:r>
    </w:p>
    <w:p>
      <w:pPr>
        <w:spacing w:after="0" w:line="167" w:lineRule="exact"/>
        <w:rPr>
          <w:sz w:val="20"/>
          <w:szCs w:val="20"/>
          <w:color w:val="auto"/>
        </w:rPr>
      </w:pPr>
    </w:p>
    <w:tbl>
      <w:tblPr>
        <w:tblLayout w:type="fixed"/>
        <w:tblInd w:w="1880" w:type="dxa"/>
        <w:tblCellMar>
          <w:top w:w="0" w:type="dxa"/>
          <w:left w:w="0" w:type="dxa"/>
          <w:bottom w:w="0" w:type="dxa"/>
          <w:right w:w="0" w:type="dxa"/>
        </w:tblCellMar>
      </w:tblPr>
      <w:tr>
        <w:trPr>
          <w:trHeight w:val="143"/>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i w:val="1"/>
                <w:iCs w:val="1"/>
                <w:color w:val="auto"/>
                <w:w w:val="97"/>
              </w:rPr>
              <w:t>$ millions</w:t>
            </w:r>
          </w:p>
        </w:tc>
        <w:tc>
          <w:tcPr>
            <w:tcW w:w="328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3 Year Target Growth (2025-2028E)</w:t>
            </w:r>
          </w:p>
        </w:tc>
      </w:tr>
      <w:tr>
        <w:trPr>
          <w:trHeight w:val="131"/>
        </w:trPr>
        <w:tc>
          <w:tcPr>
            <w:tcW w:w="3700" w:type="dxa"/>
            <w:vAlign w:val="bottom"/>
            <w:tcBorders>
              <w:top w:val="single" w:sz="8" w:color="CCEEFF"/>
            </w:tcBorders>
            <w:gridSpan w:val="2"/>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Organic Net Sales</w:t>
            </w:r>
          </w:p>
        </w:tc>
        <w:tc>
          <w:tcPr>
            <w:tcW w:w="1540" w:type="dxa"/>
            <w:vAlign w:val="bottom"/>
            <w:tcBorders>
              <w:top w:val="single" w:sz="8" w:color="auto"/>
            </w:tcBorders>
            <w:shd w:val="clear" w:color="auto" w:fill="CCEEFF"/>
          </w:tcPr>
          <w:p>
            <w:pPr>
              <w:jc w:val="center"/>
              <w:spacing w:after="0" w:line="131" w:lineRule="exact"/>
              <w:rPr>
                <w:sz w:val="20"/>
                <w:szCs w:val="20"/>
                <w:color w:val="auto"/>
              </w:rPr>
            </w:pPr>
            <w:r>
              <w:rPr>
                <w:rFonts w:ascii="Times New Roman" w:cs="Times New Roman" w:eastAsia="Times New Roman" w:hAnsi="Times New Roman"/>
                <w:sz w:val="13"/>
                <w:szCs w:val="13"/>
                <w:color w:val="auto"/>
                <w:w w:val="97"/>
              </w:rPr>
              <w:t>5-7% CAGR</w:t>
            </w:r>
          </w:p>
        </w:tc>
      </w:tr>
      <w:tr>
        <w:trPr>
          <w:trHeight w:val="152"/>
        </w:trPr>
        <w:tc>
          <w:tcPr>
            <w:tcW w:w="3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2028E Standalone Adj. EBITDA Margin</w:t>
            </w:r>
          </w:p>
        </w:tc>
        <w:tc>
          <w:tcPr>
            <w:tcW w:w="1540" w:type="dxa"/>
            <w:vAlign w:val="bottom"/>
          </w:tcPr>
          <w:p>
            <w:pPr>
              <w:jc w:val="right"/>
              <w:ind w:right="499"/>
              <w:spacing w:after="0"/>
              <w:rPr>
                <w:sz w:val="20"/>
                <w:szCs w:val="20"/>
                <w:color w:val="auto"/>
              </w:rPr>
            </w:pPr>
            <w:r>
              <w:rPr>
                <w:rFonts w:ascii="Times New Roman" w:cs="Times New Roman" w:eastAsia="Times New Roman" w:hAnsi="Times New Roman"/>
                <w:sz w:val="13"/>
                <w:szCs w:val="13"/>
                <w:color w:val="auto"/>
              </w:rPr>
              <w:t>20-23%</w:t>
            </w:r>
          </w:p>
        </w:tc>
      </w:tr>
      <w:tr>
        <w:trPr>
          <w:trHeight w:val="152"/>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Leverage</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&lt; 3.0x</w:t>
            </w:r>
          </w:p>
        </w:tc>
      </w:tr>
      <w:tr>
        <w:trPr>
          <w:trHeight w:val="165"/>
        </w:trPr>
        <w:tc>
          <w:tcPr>
            <w:tcW w:w="37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M&amp;A Capacity</w:t>
            </w: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&gt;$700m over the next 3 years</w:t>
            </w:r>
          </w:p>
        </w:tc>
      </w:tr>
    </w:tbl>
    <w:p>
      <w:pPr>
        <w:sectPr>
          <w:pgSz w:w="11900" w:h="16838" w:orient="portrait"/>
          <w:cols w:equalWidth="0" w:num="1">
            <w:col w:w="9019"/>
          </w:cols>
          <w:pgMar w:left="1440" w:top="125" w:right="1440" w:bottom="1440" w:gutter="0" w:footer="0" w:header="0"/>
        </w:sectPr>
      </w:pPr>
    </w:p>
    <w:bookmarkStart w:id="180" w:name="page181"/>
    <w:bookmarkEnd w:id="180"/>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Formal presentations will be followed by a question-and-answer session with members of management.</w:t>
      </w:r>
    </w:p>
    <w:p>
      <w:pPr>
        <w:spacing w:after="0" w:line="154" w:lineRule="exact"/>
        <w:rPr>
          <w:sz w:val="20"/>
          <w:szCs w:val="20"/>
          <w:color w:val="auto"/>
        </w:rPr>
      </w:pPr>
    </w:p>
    <w:p>
      <w:pPr>
        <w:ind w:left="640" w:right="679"/>
        <w:spacing w:after="0" w:line="255" w:lineRule="auto"/>
        <w:rPr>
          <w:sz w:val="20"/>
          <w:szCs w:val="20"/>
          <w:color w:val="auto"/>
        </w:rPr>
      </w:pPr>
      <w:r>
        <w:rPr>
          <w:rFonts w:ascii="Times New Roman" w:cs="Times New Roman" w:eastAsia="Times New Roman" w:hAnsi="Times New Roman"/>
          <w:sz w:val="13"/>
          <w:szCs w:val="13"/>
          <w:color w:val="auto"/>
        </w:rPr>
        <w:t>For those not attending the event in-person, a live webcast will be accessible through the Investor Relations section of the company website at www.middleby.com. An event replay will be available upon conclusion of the event. The presentation slides are also published on the Investor Relations section of the company’s website under “Events &amp; Presentations”.</w:t>
      </w:r>
    </w:p>
    <w:p>
      <w:pPr>
        <w:spacing w:after="0" w:line="149" w:lineRule="exact"/>
        <w:rPr>
          <w:sz w:val="20"/>
          <w:szCs w:val="20"/>
          <w:color w:val="auto"/>
        </w:rPr>
      </w:pPr>
    </w:p>
    <w:p>
      <w:pPr>
        <w:ind w:left="940" w:right="659" w:hanging="303"/>
        <w:spacing w:after="0" w:line="206" w:lineRule="auto"/>
        <w:tabs>
          <w:tab w:leader="none" w:pos="940" w:val="left"/>
        </w:tabs>
        <w:numPr>
          <w:ilvl w:val="0"/>
          <w:numId w:val="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Spin-off is subject to customary closing conditions, including the effectiveness of Midera’s Form 10 registration statement with the U.S. Securities and Exchange Commission.</w:t>
      </w:r>
    </w:p>
    <w:p>
      <w:pPr>
        <w:ind w:left="940" w:hanging="303"/>
        <w:spacing w:after="0" w:line="186" w:lineRule="auto"/>
        <w:tabs>
          <w:tab w:leader="none" w:pos="940" w:val="left"/>
        </w:tabs>
        <w:numPr>
          <w:ilvl w:val="0"/>
          <w:numId w:val="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Represents margin expansion</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About The Middleby Corporation</w:t>
      </w:r>
    </w:p>
    <w:p>
      <w:pPr>
        <w:spacing w:after="0" w:line="80" w:lineRule="exact"/>
        <w:rPr>
          <w:sz w:val="20"/>
          <w:szCs w:val="20"/>
          <w:color w:val="auto"/>
        </w:rPr>
      </w:pPr>
    </w:p>
    <w:p>
      <w:pPr>
        <w:ind w:left="640" w:right="959"/>
        <w:spacing w:after="0" w:line="251" w:lineRule="auto"/>
        <w:rPr>
          <w:sz w:val="20"/>
          <w:szCs w:val="20"/>
          <w:color w:val="auto"/>
        </w:rPr>
      </w:pPr>
      <w:r>
        <w:rPr>
          <w:rFonts w:ascii="Times New Roman" w:cs="Times New Roman" w:eastAsia="Times New Roman" w:hAnsi="Times New Roman"/>
          <w:sz w:val="13"/>
          <w:szCs w:val="13"/>
          <w:color w:val="auto"/>
        </w:rPr>
        <w:t xml:space="preserve">The Middleby Corporation is a global leader in the foodservice industry. The company develops and manufactures a broad line of solutions used in commercial foodservice and food processing. Middleby showcases its advanced solutions in the Middleby Innovation Kitchens for commercial foodservice and industrial baking and protein Innovation Centers for food processing solutions. For more information about Middleby, please visit </w:t>
      </w:r>
      <w:r>
        <w:rPr>
          <w:rFonts w:ascii="Times New Roman" w:cs="Times New Roman" w:eastAsia="Times New Roman" w:hAnsi="Times New Roman"/>
          <w:sz w:val="13"/>
          <w:szCs w:val="13"/>
          <w:u w:val="single" w:color="auto"/>
          <w:color w:val="auto"/>
        </w:rPr>
        <w:t>www.middleby.com</w:t>
      </w:r>
      <w:r>
        <w:rPr>
          <w:rFonts w:ascii="Times New Roman" w:cs="Times New Roman" w:eastAsia="Times New Roman" w:hAnsi="Times New Roman"/>
          <w:sz w:val="13"/>
          <w:szCs w:val="13"/>
          <w:color w:val="auto"/>
        </w:rPr>
        <w:t>.</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About Midera Food Processing</w:t>
      </w:r>
    </w:p>
    <w:p>
      <w:pPr>
        <w:spacing w:after="0" w:line="80" w:lineRule="exact"/>
        <w:rPr>
          <w:sz w:val="20"/>
          <w:szCs w:val="20"/>
          <w:color w:val="auto"/>
        </w:rPr>
      </w:pPr>
    </w:p>
    <w:p>
      <w:pPr>
        <w:ind w:left="640" w:right="839"/>
        <w:spacing w:after="0" w:line="249" w:lineRule="auto"/>
        <w:rPr>
          <w:sz w:val="20"/>
          <w:szCs w:val="20"/>
          <w:color w:val="auto"/>
        </w:rPr>
      </w:pPr>
      <w:r>
        <w:rPr>
          <w:rFonts w:ascii="Times New Roman" w:cs="Times New Roman" w:eastAsia="Times New Roman" w:hAnsi="Times New Roman"/>
          <w:sz w:val="13"/>
          <w:szCs w:val="13"/>
          <w:color w:val="auto"/>
        </w:rPr>
        <w:t>Midera Food Processing provides food processing equipment and automation solutions for industrial protein, bakery, and snack producers, delivering total line solutions from preparation and thermal processing through packaging. With a portfolio of 30+ industry-leading brands reaching customers across six continents, Midera helps food processors produce safer, more consistent products while improving efficiency and reducing waste at scale. Headquartered in Rosemont, Illinois, the company employs approximately 2,800 people worldwide. For more information about Midera, please visit www.midera.com.</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CAUTIONARY STATEMENT REGARDING FORWARD-LOOKING STATEMENTS</w:t>
      </w:r>
    </w:p>
    <w:p>
      <w:pPr>
        <w:spacing w:after="0" w:line="80"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This press release contains “forward-looking statements” subject to the Private Securities Litigation Reform Act of 1995, including statements regarding The Middleby Corporation’s (“Middleby”) and Midera Food Processing, Inc.’s (“Midera” and taken together with Middleby, the “Company”) expectations with respect to the timing of the spin-off of Midera and the Company’s future performance. The Company cautions investors that such statements are estimates and are highly dependent upon a variety of factors. These forward-looking statements involve known and unknown risks, uncertainties and other</w:t>
      </w:r>
    </w:p>
    <w:p>
      <w:pPr>
        <w:sectPr>
          <w:pgSz w:w="11900" w:h="16838" w:orient="portrait"/>
          <w:cols w:equalWidth="0" w:num="1">
            <w:col w:w="9019"/>
          </w:cols>
          <w:pgMar w:left="1440" w:top="231" w:right="1440" w:bottom="1440" w:gutter="0" w:footer="0" w:header="0"/>
        </w:sectPr>
      </w:pPr>
    </w:p>
    <w:bookmarkStart w:id="181" w:name="page182"/>
    <w:bookmarkEnd w:id="181"/>
    <w:p>
      <w:pPr>
        <w:ind w:left="640" w:right="65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factors, which could cause the Company’s actual results, performance or outcomes to differ materially from those expressed or implied in the forward-looking statements. The following are some of the important factors that could cause the Company’s actual results, performance or outcomes to differ materially from those discussed in the forward-looking statements: changing market conditions; volatility in earnings resulting from goodwill impairment losses, which may occur irregularly and in varying amounts; variability in financing costs and interest rates; quarterly variations in operating results; dependence on key customers; risks associated with the Company’s foreign operations, including international exposure, political risks affecting international sales, market acceptance and demand for the Company’s products and the Company’s ability to manage the risk associated with the exposure to foreign currency exchange rate fluctuations; the Company’s ability to protect its trademarks, copyrights and other intellectual property; changing market conditions, including inflation; the impact of competitive products and pricing; the impact of announced management and organizational changes; intense competition in the Company’s business segments including the impact of both new and established global competitors; unfavorable tax law changes and tax authority rulings; cybersecurity attacks and other breaches in security; the continued ability to realize profitable growth through the sourcing and completion of strategic acquisitions; the timely development and market acceptance of the Company’s products; the availability and cost of raw materials; the possibility that the proposed spin-off of Midera will not be consummated within the anticipated time period or at all, including as the result of regulatory, market or other factors, including the possibility that various closing conditions for the spin-off may not be satisfied; the potential disruption to the Company’s business in connection with the proposed spin-off; the potential that the Company does not realize all of the expected benefits of the spin-off; that the spin-off may be more difficult, time consuming or costly than expected; the failure of the spin-off to qualify for the expected tax treatment; potential adverse effects of the announcement of the proposed spin-off of Midera or the results thereof, including on the market price of the Company’s common stock, the ability of the Company to develop and maintain relationships with personnel, customers, suppliers and others with whom it does business or the Company’s business, financial condition, results of operations and financial performance; risks related to diversion of the Company’s management’s attention from its ongoing business operations due to the proposed spin-off of Midera; and other risks detailed in the Company’s SEC filings. All forward-looking statements are expressly qualified in their entirety by these cautionary statements. The forward-looking statements included in this press release are made only as of the date hereof and, except as required by federal securities laws and rules and regulations of the SEC, the Company undertakes no obligation to publicly update or revise any forward-looking statements, whether as a result of new information, future events or otherwise.</w:t>
      </w:r>
    </w:p>
    <w:p>
      <w:pPr>
        <w:sectPr>
          <w:pgSz w:w="11900" w:h="16838" w:orient="portrait"/>
          <w:cols w:equalWidth="0" w:num="1">
            <w:col w:w="9019"/>
          </w:cols>
          <w:pgMar w:left="1440" w:top="231" w:right="1440" w:bottom="1440" w:gutter="0" w:footer="0" w:header="0"/>
        </w:sectPr>
      </w:pPr>
    </w:p>
    <w:bookmarkStart w:id="182" w:name="page183"/>
    <w:bookmarkEnd w:id="182"/>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USE OF NON-GAAP FINANCIAL MEASURES</w:t>
      </w:r>
    </w:p>
    <w:p>
      <w:pPr>
        <w:spacing w:after="0" w:line="80" w:lineRule="exact"/>
        <w:rPr>
          <w:sz w:val="20"/>
          <w:szCs w:val="20"/>
          <w:color w:val="auto"/>
        </w:rPr>
      </w:pPr>
    </w:p>
    <w:p>
      <w:pPr>
        <w:ind w:left="640" w:right="679"/>
        <w:spacing w:after="0" w:line="245" w:lineRule="auto"/>
        <w:rPr>
          <w:sz w:val="20"/>
          <w:szCs w:val="20"/>
          <w:color w:val="auto"/>
        </w:rPr>
      </w:pPr>
      <w:r>
        <w:rPr>
          <w:rFonts w:ascii="Times New Roman" w:cs="Times New Roman" w:eastAsia="Times New Roman" w:hAnsi="Times New Roman"/>
          <w:sz w:val="13"/>
          <w:szCs w:val="13"/>
          <w:color w:val="auto"/>
        </w:rPr>
        <w:t>This press release contains information about the Company’s financial results which is not presented in accordance with accounting principles generally accepted in the United States (“GAAP”). The Company refers to these measures as “non-GAAP” financial measures. The Appendix to each of Middleby’s and Midera’s Investor Day presentations, which are available on the Investor Relations section of the Company’s website under “Events &amp; Presentations,” provides definitions for the non-GAAP financial measures included in this press release. Reconciliations of forward-looking non-GAAP financial measures in this press release to the most directly comparable GAAP financial measures are not available because the timing and magnitude of certain items cannot be reasonably estimated at this time without unreasonable effort. The non-GAAP financial measures disclosed by the Company should not be considered a substitute for, or superior to, financial measures prepared in accordance with GAAP, and the financial results prepared in accordance with GAAP. In addition, the non-GAAP financial measures included in this press release do not have standard meanings and may vary from similarly titled non-GAAP financial measures used by other companies. The Company believes that its presentation of non-GAAP financial measures is useful because it provides investors and securities analysts with the same information that it uses internally for purposes of assessing its core operating and financial performance.</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Investor relations inquiries: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Rebecca Ellin</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SVP of Investor Strategy and Corporate Development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Rellin@middleby.com</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Media inquiries: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Darcy Bretz</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VP of Corporate Communications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Dbretz@middleby.com</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Kate Schneiderman</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Managing Director, ICR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Middleby@icrinc.com</w:t>
      </w:r>
    </w:p>
    <w:sectPr>
      <w:pgSz w:w="11900" w:h="16838" w:orient="portrait"/>
      <w:cols w:equalWidth="0" w:num="1">
        <w:col w:w="9019"/>
      </w:cols>
      <w:pgMar w:left="1440" w:top="2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2"/>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2026-05-12T08:16:29Z</dcterms:created>
  <dcterms:modified xsi:type="dcterms:W3CDTF">2026-05-12T08:16:29Z</dcterms:modified>
</cp:coreProperties>
</file>